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6B9CE" w14:textId="77777777" w:rsidR="00982611" w:rsidRPr="00086491" w:rsidRDefault="00982611" w:rsidP="00982611">
      <w:pPr>
        <w:spacing w:after="0" w:line="276" w:lineRule="auto"/>
        <w:rPr>
          <w:rFonts w:ascii="Times New Roman" w:eastAsiaTheme="minorHAnsi" w:hAnsi="Times New Roman"/>
          <w:bCs/>
          <w:sz w:val="24"/>
          <w:szCs w:val="24"/>
        </w:rPr>
      </w:pPr>
      <w:r w:rsidRPr="00086491">
        <w:rPr>
          <w:rFonts w:ascii="Times New Roman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0" wp14:anchorId="75E3EE57" wp14:editId="443B6D9A">
            <wp:simplePos x="0" y="0"/>
            <wp:positionH relativeFrom="column">
              <wp:posOffset>-131445</wp:posOffset>
            </wp:positionH>
            <wp:positionV relativeFrom="paragraph">
              <wp:posOffset>191770</wp:posOffset>
            </wp:positionV>
            <wp:extent cx="838835" cy="554990"/>
            <wp:effectExtent l="0" t="0" r="0" b="0"/>
            <wp:wrapSquare wrapText="bothSides"/>
            <wp:docPr id="1" name="Slika 1" descr="Grb RH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H -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1208" r="-27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2F073" w14:textId="77777777" w:rsidR="00982611" w:rsidRPr="00086491" w:rsidRDefault="00982611" w:rsidP="00982611">
      <w:pPr>
        <w:rPr>
          <w:rFonts w:ascii="Times New Roman" w:hAnsi="Times New Roman"/>
          <w:b/>
          <w:sz w:val="24"/>
          <w:szCs w:val="24"/>
        </w:rPr>
      </w:pPr>
    </w:p>
    <w:p w14:paraId="604F49BC" w14:textId="77777777" w:rsidR="00982611" w:rsidRPr="00086491" w:rsidRDefault="00982611" w:rsidP="00982611">
      <w:pPr>
        <w:rPr>
          <w:rFonts w:ascii="Times New Roman" w:hAnsi="Times New Roman"/>
          <w:b/>
          <w:sz w:val="24"/>
          <w:szCs w:val="24"/>
        </w:rPr>
      </w:pPr>
    </w:p>
    <w:p w14:paraId="5CCCA8F5" w14:textId="77777777" w:rsidR="00982611" w:rsidRPr="00086491" w:rsidRDefault="00982611" w:rsidP="00982611">
      <w:pPr>
        <w:spacing w:after="0"/>
        <w:rPr>
          <w:rFonts w:ascii="Times New Roman" w:hAnsi="Times New Roman"/>
          <w:sz w:val="24"/>
          <w:szCs w:val="24"/>
        </w:rPr>
      </w:pPr>
    </w:p>
    <w:p w14:paraId="327A9BEB" w14:textId="77777777" w:rsidR="00982611" w:rsidRPr="00086491" w:rsidRDefault="00982611" w:rsidP="00982611">
      <w:pPr>
        <w:spacing w:after="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 xml:space="preserve">REPUBLIKA HRVATSKA </w:t>
      </w:r>
    </w:p>
    <w:p w14:paraId="24BC42D7" w14:textId="77777777" w:rsidR="00982611" w:rsidRPr="00086491" w:rsidRDefault="00982611" w:rsidP="00982611">
      <w:pPr>
        <w:spacing w:after="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 xml:space="preserve">KARLOVAČKA ŽUPANIJA </w:t>
      </w:r>
    </w:p>
    <w:p w14:paraId="655CFBFC" w14:textId="77777777" w:rsidR="00982611" w:rsidRPr="00086491" w:rsidRDefault="00982611" w:rsidP="00982611">
      <w:pPr>
        <w:spacing w:after="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OPĆINA VOJNIĆ</w:t>
      </w:r>
    </w:p>
    <w:p w14:paraId="3B3BD022" w14:textId="77777777" w:rsidR="00982611" w:rsidRPr="00086491" w:rsidRDefault="00982611" w:rsidP="00982611">
      <w:pPr>
        <w:spacing w:after="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OPĆINSKO VIJEĆE</w:t>
      </w:r>
    </w:p>
    <w:p w14:paraId="00AC7D2D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744ACC22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74863BAC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5CAC1C82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51CE9E23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7E9588AA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49A8EDCC" w14:textId="77777777" w:rsidR="00982611" w:rsidRPr="00086491" w:rsidRDefault="00982611" w:rsidP="0098261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OBRAZLOŽENJE</w:t>
      </w:r>
    </w:p>
    <w:p w14:paraId="70B797AE" w14:textId="77777777" w:rsidR="00982611" w:rsidRPr="00086491" w:rsidRDefault="00982611" w:rsidP="009826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42CF9E" w14:textId="77777777" w:rsidR="00982611" w:rsidRPr="00086491" w:rsidRDefault="00982611" w:rsidP="0098261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 xml:space="preserve">UZ GODIŠNJE IZVRŠENJE PRORAČUNA </w:t>
      </w:r>
    </w:p>
    <w:p w14:paraId="7423BF54" w14:textId="77777777" w:rsidR="00982611" w:rsidRPr="00086491" w:rsidRDefault="00982611" w:rsidP="0098261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OPĆINE VOJNIĆ ZA 2025. GODINU</w:t>
      </w:r>
    </w:p>
    <w:p w14:paraId="1A6FFF0A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5597F07B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40F19452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0ED3EE60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736C9185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27178172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4BCDBC11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2EB4C739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684B9086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35F45513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79707F0F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6BC75563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5923A961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4825D62A" w14:textId="77777777" w:rsidR="00982611" w:rsidRPr="00501543" w:rsidRDefault="00982611" w:rsidP="00982611">
      <w:pPr>
        <w:jc w:val="center"/>
        <w:rPr>
          <w:rFonts w:ascii="Times New Roman" w:hAnsi="Times New Roman"/>
          <w:b/>
          <w:sz w:val="24"/>
          <w:szCs w:val="24"/>
        </w:rPr>
      </w:pPr>
      <w:r w:rsidRPr="00086491">
        <w:rPr>
          <w:rFonts w:ascii="Times New Roman" w:hAnsi="Times New Roman"/>
          <w:b/>
          <w:sz w:val="24"/>
          <w:szCs w:val="24"/>
        </w:rPr>
        <w:t>Vojnić, ožujak 2025. godine</w:t>
      </w:r>
    </w:p>
    <w:p w14:paraId="6E95E09F" w14:textId="77777777" w:rsidR="00982611" w:rsidRPr="00086491" w:rsidRDefault="00982611" w:rsidP="00982611">
      <w:pPr>
        <w:ind w:firstLine="72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lastRenderedPageBreak/>
        <w:t xml:space="preserve">Godišnji izvještaj o izvršenju proračuna za Općinu Vojnić za 2025. godinu sastavljen je prema odredbama Zakona o proračunu (NN 144/21) i Pravilnika o polugodišnjem i  godišnjem izvještaju o izvršenju proračuna (NN </w:t>
      </w:r>
      <w:r w:rsidRPr="00086491">
        <w:rPr>
          <w:rFonts w:ascii="Times New Roman" w:hAnsi="Times New Roman"/>
          <w:color w:val="000000"/>
          <w:sz w:val="24"/>
          <w:szCs w:val="24"/>
        </w:rPr>
        <w:t>85/23</w:t>
      </w:r>
      <w:r w:rsidRPr="00086491">
        <w:rPr>
          <w:rFonts w:ascii="Times New Roman" w:hAnsi="Times New Roman"/>
          <w:sz w:val="24"/>
          <w:szCs w:val="24"/>
        </w:rPr>
        <w:t>).</w:t>
      </w:r>
    </w:p>
    <w:p w14:paraId="06D72C07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07C0AA31" w14:textId="77777777" w:rsidR="00982611" w:rsidRPr="00086491" w:rsidRDefault="00982611" w:rsidP="00982611">
      <w:pPr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1. SADRŽAJ I OBUHVAT ISKAZIVANJA PODATAKA</w:t>
      </w:r>
    </w:p>
    <w:p w14:paraId="054DBC46" w14:textId="77777777" w:rsidR="00982611" w:rsidRPr="00086491" w:rsidRDefault="00982611" w:rsidP="00982611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23C6BD3" w14:textId="77777777" w:rsidR="00982611" w:rsidRPr="00086491" w:rsidRDefault="00982611" w:rsidP="00982611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 xml:space="preserve"> Godišnji izvještaj o izvršenju proračuna za 2025. proračunsku godinu sastavlja nadležna služba za financije, a obuhvaća slijedeće:</w:t>
      </w:r>
    </w:p>
    <w:p w14:paraId="33013F71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51EB97F5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Opći dio proračuna</w:t>
      </w:r>
      <w:r w:rsidRPr="00086491">
        <w:rPr>
          <w:rFonts w:ascii="Times New Roman" w:hAnsi="Times New Roman"/>
          <w:sz w:val="24"/>
          <w:szCs w:val="24"/>
        </w:rPr>
        <w:t xml:space="preserve"> (Račun prihoda i rashoda i Račun financiranja na razini odjeljka ekonomske klasifikacije)</w:t>
      </w:r>
    </w:p>
    <w:p w14:paraId="56317DE6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Posebni dio proračuna</w:t>
      </w:r>
      <w:r w:rsidRPr="00086491">
        <w:rPr>
          <w:rFonts w:ascii="Times New Roman" w:hAnsi="Times New Roman"/>
          <w:sz w:val="24"/>
          <w:szCs w:val="24"/>
        </w:rPr>
        <w:t xml:space="preserve"> iskazan po organizacijskoj i programskoj klasifikaciji te razini odjeljka ekonomske klasifikacije.</w:t>
      </w:r>
    </w:p>
    <w:p w14:paraId="43B7CFF9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Izvještaj o zaduživanju na domaćem i stranom tržištu novca i kapitala</w:t>
      </w:r>
      <w:r w:rsidRPr="00086491">
        <w:rPr>
          <w:rFonts w:ascii="Times New Roman" w:hAnsi="Times New Roman"/>
          <w:sz w:val="24"/>
          <w:szCs w:val="24"/>
        </w:rPr>
        <w:t>,</w:t>
      </w:r>
    </w:p>
    <w:p w14:paraId="7DB2611D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Izvještaj o korištenju proračunske zalihe</w:t>
      </w:r>
      <w:r w:rsidRPr="00086491">
        <w:rPr>
          <w:rFonts w:ascii="Times New Roman" w:hAnsi="Times New Roman"/>
          <w:sz w:val="24"/>
          <w:szCs w:val="24"/>
        </w:rPr>
        <w:t>,</w:t>
      </w:r>
    </w:p>
    <w:p w14:paraId="3F4497B0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Izvještaj o danim jamstvima i izdacima po jamstvima</w:t>
      </w:r>
      <w:r w:rsidRPr="00086491">
        <w:rPr>
          <w:rFonts w:ascii="Times New Roman" w:hAnsi="Times New Roman"/>
          <w:sz w:val="24"/>
          <w:szCs w:val="24"/>
        </w:rPr>
        <w:t>,</w:t>
      </w:r>
    </w:p>
    <w:p w14:paraId="457C020B" w14:textId="77777777" w:rsidR="00982611" w:rsidRPr="00086491" w:rsidRDefault="00982611" w:rsidP="0098261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Obrazloženje ostvarenja prihoda i primitaka, rashoda i izdataka</w:t>
      </w:r>
    </w:p>
    <w:p w14:paraId="4167484C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324D5F75" w14:textId="77777777" w:rsidR="00982611" w:rsidRPr="00086491" w:rsidRDefault="00982611" w:rsidP="00982611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677795">
        <w:rPr>
          <w:rFonts w:ascii="Times New Roman" w:hAnsi="Times New Roman"/>
          <w:sz w:val="24"/>
          <w:szCs w:val="24"/>
        </w:rPr>
        <w:t>Općina Vojnić ima sustav riznice svojih proračunskih korisnika i to Knjižnice i čitaonice Vojnić i Dječji vrtić Vojnić. Godišnje izvršenje proračuna za 2025. godinu izvršeno je tako da ukupni prihodi i primici pored rashoda i izdataka i nastalog viška iz prethodne godine s kojim je Općina završila 2024. godinu, iznosi 76.099,34 eura.</w:t>
      </w:r>
    </w:p>
    <w:p w14:paraId="5D53C8CB" w14:textId="77777777" w:rsidR="00982611" w:rsidRPr="00086491" w:rsidRDefault="00982611" w:rsidP="00982611">
      <w:pPr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24B03E9" w14:textId="77777777" w:rsidR="00982611" w:rsidRPr="00086491" w:rsidRDefault="00982611" w:rsidP="00982611">
      <w:pPr>
        <w:numPr>
          <w:ilvl w:val="1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>OPĆI DIO PRORAČUNA</w:t>
      </w:r>
    </w:p>
    <w:p w14:paraId="42E1FEA0" w14:textId="77777777" w:rsidR="00982611" w:rsidRPr="00086491" w:rsidRDefault="00982611" w:rsidP="00982611">
      <w:pPr>
        <w:rPr>
          <w:rFonts w:ascii="Times New Roman" w:hAnsi="Times New Roman"/>
          <w:b/>
          <w:bCs/>
          <w:sz w:val="24"/>
          <w:szCs w:val="24"/>
        </w:rPr>
      </w:pPr>
    </w:p>
    <w:p w14:paraId="72F21910" w14:textId="77777777" w:rsidR="00982611" w:rsidRPr="00086491" w:rsidRDefault="00982611" w:rsidP="00982611">
      <w:pPr>
        <w:ind w:firstLine="72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Tablični prikaz sadrži račun prihoda i rashoda, račun financiranja gdje su prikazani ukupni prihodi i primitci te rashodi i izdaci na razini razreda ekonomske klasifikacije, kao i raspoloživa sredstva iz prethodne godine.</w:t>
      </w:r>
    </w:p>
    <w:p w14:paraId="4CB86BF4" w14:textId="77777777" w:rsidR="00982611" w:rsidRPr="00086491" w:rsidRDefault="00982611" w:rsidP="00982611">
      <w:pPr>
        <w:ind w:firstLine="420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Tablica 1.  Izvršenje Općeg dijela Proračuna</w:t>
      </w:r>
    </w:p>
    <w:tbl>
      <w:tblPr>
        <w:tblW w:w="9103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0"/>
        <w:gridCol w:w="2126"/>
        <w:gridCol w:w="2127"/>
      </w:tblGrid>
      <w:tr w:rsidR="00982611" w:rsidRPr="00086491" w14:paraId="113EE034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5445" w14:textId="77777777" w:rsidR="00982611" w:rsidRPr="00086491" w:rsidRDefault="00982611" w:rsidP="00411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B2BC" w14:textId="77777777" w:rsidR="00982611" w:rsidRPr="00086491" w:rsidRDefault="00982611" w:rsidP="00411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Plan proračuna za 2025. (</w:t>
            </w:r>
            <w:proofErr w:type="spellStart"/>
            <w:r w:rsidRPr="00086491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Pr="0008649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9DB4" w14:textId="77777777" w:rsidR="00982611" w:rsidRPr="00086491" w:rsidRDefault="00982611" w:rsidP="00411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Izvršenje sa 31.12.2025. (</w:t>
            </w:r>
            <w:proofErr w:type="spellStart"/>
            <w:r w:rsidRPr="00086491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Pr="0008649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82611" w:rsidRPr="00086491" w14:paraId="0B6E6E6D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EE41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>A.RAČUN PRIHODA I RASHODA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F268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3B80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82611" w:rsidRPr="00086491" w14:paraId="1123A0D1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05AB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Prihodi poslovanja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9423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6.374.916,00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D402C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2.875.907,30</w:t>
            </w:r>
          </w:p>
        </w:tc>
      </w:tr>
      <w:tr w:rsidR="00982611" w:rsidRPr="00086491" w14:paraId="06456834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3AAF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Prihodi od prodaje nefinancijske imovine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10D5D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39.814,00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A6EB2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2.867,81</w:t>
            </w:r>
          </w:p>
        </w:tc>
      </w:tr>
      <w:tr w:rsidR="00982611" w:rsidRPr="00086491" w14:paraId="1882DE05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3595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Rashodi poslovanja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372CA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4.027.535,00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78B2B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2.044.875,18</w:t>
            </w:r>
          </w:p>
        </w:tc>
      </w:tr>
      <w:tr w:rsidR="00982611" w:rsidRPr="00086491" w14:paraId="1E526629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20C8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296FC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2.387.195,00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724FA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869.379,27</w:t>
            </w:r>
          </w:p>
        </w:tc>
      </w:tr>
      <w:tr w:rsidR="00982611" w:rsidRPr="00086491" w14:paraId="6D6A7BAA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F67B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RAZLIKA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A06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7EF4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-35.479,34</w:t>
            </w:r>
          </w:p>
          <w:p w14:paraId="4E494F0D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82611" w:rsidRPr="00086491" w14:paraId="0B7A7802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0FB6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B.RAČUN ZADUŽIVANJA/FINANCIRANJA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82C5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E9C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</w:tr>
      <w:tr w:rsidR="00982611" w:rsidRPr="00086491" w14:paraId="7345DF6A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9654" w14:textId="77777777" w:rsidR="00982611" w:rsidRPr="00086491" w:rsidRDefault="00982611" w:rsidP="00411B49">
            <w:pPr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Izdaci za financijsku imovinu i otplate zajmova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F7CB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1A82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82611" w:rsidRPr="00086491" w14:paraId="2A7B7F65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DED1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>NETO ZADUŽIVANJE/FINANCIRANJE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4C3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18B4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82611" w:rsidRPr="00086491" w14:paraId="79D0CA90" w14:textId="77777777" w:rsidTr="00411B49">
        <w:trPr>
          <w:trHeight w:val="566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FC8A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>C.RASPOLOŽIVA SREDSTVA IZ PRETHODNE GODINE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1279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8BB8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611" w:rsidRPr="00086491" w14:paraId="66644879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E368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>Raspoloživa sredstva iz prethodnih godina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F89B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1465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111.578,68</w:t>
            </w:r>
          </w:p>
        </w:tc>
      </w:tr>
      <w:tr w:rsidR="00982611" w:rsidRPr="00086491" w14:paraId="265746FF" w14:textId="77777777" w:rsidTr="00411B49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255F" w14:textId="77777777" w:rsidR="00982611" w:rsidRPr="00086491" w:rsidRDefault="00982611" w:rsidP="00411B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Višak +neto </w:t>
            </w:r>
            <w:proofErr w:type="spellStart"/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>financiranje+raspoloživa</w:t>
            </w:r>
            <w:proofErr w:type="spellEnd"/>
            <w:r w:rsidRPr="000864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sredstva iz prethodnih godina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781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F3C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76.099,34</w:t>
            </w:r>
          </w:p>
          <w:p w14:paraId="61BCE2D7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14:paraId="7D4B65E5" w14:textId="77777777" w:rsidR="00982611" w:rsidRPr="00086491" w:rsidRDefault="00982611" w:rsidP="00982611">
      <w:pPr>
        <w:ind w:firstLine="420"/>
        <w:rPr>
          <w:rFonts w:ascii="Times New Roman" w:hAnsi="Times New Roman"/>
          <w:sz w:val="24"/>
          <w:szCs w:val="24"/>
        </w:rPr>
      </w:pPr>
    </w:p>
    <w:p w14:paraId="50910A69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 xml:space="preserve">Iz iskazanih podataka vidljivo je da je u izvještajnom razdoblju za 2025. godinu ukupno ostvaren </w:t>
      </w:r>
      <w:r>
        <w:rPr>
          <w:rFonts w:ascii="Times New Roman" w:hAnsi="Times New Roman"/>
          <w:sz w:val="24"/>
          <w:szCs w:val="24"/>
        </w:rPr>
        <w:t>višak</w:t>
      </w:r>
      <w:r w:rsidRPr="00086491">
        <w:rPr>
          <w:rFonts w:ascii="Times New Roman" w:hAnsi="Times New Roman"/>
          <w:sz w:val="24"/>
          <w:szCs w:val="24"/>
        </w:rPr>
        <w:t xml:space="preserve"> prihoda i primitaka u odnosu na rashode i izdatke u visini od </w:t>
      </w:r>
      <w:r>
        <w:rPr>
          <w:rFonts w:ascii="Times New Roman" w:hAnsi="Times New Roman"/>
          <w:sz w:val="24"/>
          <w:szCs w:val="24"/>
        </w:rPr>
        <w:t>76.099,34</w:t>
      </w:r>
      <w:r w:rsidRPr="00086491">
        <w:rPr>
          <w:rFonts w:ascii="Times New Roman" w:hAnsi="Times New Roman"/>
          <w:sz w:val="24"/>
          <w:szCs w:val="24"/>
        </w:rPr>
        <w:t xml:space="preserve"> eura. U  rezultat poslovanja uključena su i raspoloživa sredstva iz prethodnih godina. </w:t>
      </w:r>
    </w:p>
    <w:p w14:paraId="674940AC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</w:p>
    <w:p w14:paraId="00430139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b/>
          <w:bCs/>
          <w:lang w:eastAsia="en-US"/>
        </w:rPr>
      </w:pPr>
      <w:r w:rsidRPr="00086491">
        <w:rPr>
          <w:b/>
          <w:bCs/>
          <w:lang w:eastAsia="en-US"/>
        </w:rPr>
        <w:t>1.2. POSEBNI DIO PRORAČUNA</w:t>
      </w:r>
    </w:p>
    <w:p w14:paraId="2592890D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01A08B0C" w14:textId="77777777" w:rsidR="00982611" w:rsidRPr="00086491" w:rsidRDefault="00982611" w:rsidP="00982611">
      <w:pPr>
        <w:pStyle w:val="t-9-8"/>
        <w:spacing w:before="0" w:beforeAutospacing="0" w:after="0" w:afterAutospacing="0"/>
        <w:ind w:left="420" w:firstLine="300"/>
        <w:jc w:val="both"/>
        <w:rPr>
          <w:lang w:eastAsia="en-US"/>
        </w:rPr>
      </w:pPr>
      <w:r w:rsidRPr="00086491">
        <w:rPr>
          <w:lang w:eastAsia="en-US"/>
        </w:rPr>
        <w:t xml:space="preserve">Tablični prikaz sadrži izvršenje po organizacijskoj, ekonomskoj i programskoj </w:t>
      </w:r>
    </w:p>
    <w:p w14:paraId="07030CA0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>klasifikaciji u tablici gdje su iskazani plan proračuna za  2025. godinu  i godišnje izvršenje za 2025. godinu s brojčanim oznakama i nazivima razdjela i glave, glavnog programa, programa, aktivnosti  i projekta, te računa ekonomske klasifikacije na razini podskupine i odjeljka i indeksa izvršenja sa 31.12.2025.godine, u odnosu na izvršenje sa 31.12.2024. godine.</w:t>
      </w:r>
    </w:p>
    <w:p w14:paraId="1B08119F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</w:p>
    <w:p w14:paraId="1F98C848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4348473D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b/>
          <w:bCs/>
          <w:lang w:eastAsia="en-US"/>
        </w:rPr>
      </w:pPr>
      <w:r w:rsidRPr="00086491">
        <w:rPr>
          <w:b/>
          <w:bCs/>
          <w:lang w:eastAsia="en-US"/>
        </w:rPr>
        <w:t xml:space="preserve">1.3.IZVJEŠTAJ O ZADUŽIVANJU NA DOMAĆEM I STRANOM TRŽIŠTU NOVCA    </w:t>
      </w:r>
    </w:p>
    <w:p w14:paraId="46E1BF85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b/>
          <w:bCs/>
          <w:lang w:eastAsia="en-US"/>
        </w:rPr>
      </w:pPr>
      <w:r w:rsidRPr="00086491">
        <w:rPr>
          <w:b/>
          <w:bCs/>
          <w:lang w:eastAsia="en-US"/>
        </w:rPr>
        <w:t xml:space="preserve">      I KAPITALA</w:t>
      </w:r>
    </w:p>
    <w:p w14:paraId="5D7D3711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27B67AA4" w14:textId="77777777" w:rsidR="0098261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</w:r>
      <w:r w:rsidRPr="00DE62C7">
        <w:rPr>
          <w:lang w:eastAsia="en-US"/>
        </w:rPr>
        <w:t>Općina Vojnić u 2025. godini nije sklapala ugovore o kreditnom zaduženju s bankama. U svrhu održavanja tekuće likvidnosti korišteno je dopušteno prekoračenje po poslovnom računu, kao oblik kratkoročnog financiranja.</w:t>
      </w:r>
    </w:p>
    <w:p w14:paraId="1E8BBBE6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71B4239E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b/>
          <w:bCs/>
          <w:lang w:eastAsia="en-US"/>
        </w:rPr>
      </w:pPr>
      <w:r w:rsidRPr="00086491">
        <w:rPr>
          <w:b/>
          <w:bCs/>
          <w:lang w:eastAsia="en-US"/>
        </w:rPr>
        <w:t>1.4.  IZVJEŠTAJ O KORIŠTENJU PRORAČUNSKE ZALIHE</w:t>
      </w:r>
    </w:p>
    <w:p w14:paraId="26C76607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4AA1D74F" w14:textId="77777777" w:rsidR="00982611" w:rsidRPr="00086491" w:rsidRDefault="00982611" w:rsidP="00982611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86491">
        <w:rPr>
          <w:rFonts w:ascii="Times New Roman" w:hAnsi="Times New Roman"/>
          <w:color w:val="000000"/>
          <w:sz w:val="24"/>
          <w:szCs w:val="24"/>
        </w:rPr>
        <w:t xml:space="preserve">Proračunska zaliha je oblik izvora financiranja, a ne ekonomska vrsta rashoda. Svi rashodi koji se iz proračunske pričuve financiraju moraju biti pravilno klasificirani i evidentirani na nekoj od konkretnih vrsta rashoda predviđenih osnovnim računima. </w:t>
      </w:r>
    </w:p>
    <w:p w14:paraId="3DCDD774" w14:textId="77777777" w:rsidR="00982611" w:rsidRDefault="00982611" w:rsidP="00982611">
      <w:pPr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86491">
        <w:rPr>
          <w:rFonts w:ascii="Times New Roman" w:hAnsi="Times New Roman"/>
          <w:color w:val="000000"/>
          <w:sz w:val="24"/>
          <w:szCs w:val="24"/>
        </w:rPr>
        <w:t>Sredstva proračunske zalihe koriste se za financiranje rashoda nastalih pri otklanjanju posljedica elementarnih nepogoda, epidemija, ekoloških nesreća ili izvanrednih događaja i ostalih nepredviđenih nesreća te za druge nepredviđene rashode tijekom godine</w:t>
      </w:r>
      <w:r w:rsidRPr="00086491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</w:p>
    <w:p w14:paraId="1CCF4A3F" w14:textId="77777777" w:rsidR="00982611" w:rsidRPr="000B2301" w:rsidRDefault="00982611" w:rsidP="00982611"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86491">
        <w:rPr>
          <w:rFonts w:ascii="Times New Roman" w:hAnsi="Times New Roman"/>
          <w:bCs/>
          <w:color w:val="000000"/>
          <w:sz w:val="24"/>
          <w:szCs w:val="24"/>
        </w:rPr>
        <w:t>U 2025. godini u te svrhe planirano je 6.636,00 eura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76002D7" w14:textId="77777777" w:rsidR="00982611" w:rsidRPr="000B2301" w:rsidRDefault="00982611" w:rsidP="00982611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B2301">
        <w:rPr>
          <w:rFonts w:ascii="Times New Roman" w:hAnsi="Times New Roman"/>
          <w:bCs/>
          <w:color w:val="000000"/>
          <w:sz w:val="24"/>
          <w:szCs w:val="24"/>
        </w:rPr>
        <w:t>Općina Vojnić u proračunskoj 2025. godini nije donosila Odluku, odnosno rješenje o korištenju proračunske zalihe.</w:t>
      </w:r>
    </w:p>
    <w:p w14:paraId="1959D58A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b/>
          <w:bCs/>
          <w:lang w:eastAsia="en-US"/>
        </w:rPr>
      </w:pPr>
      <w:r w:rsidRPr="00086491">
        <w:rPr>
          <w:b/>
          <w:bCs/>
          <w:lang w:eastAsia="en-US"/>
        </w:rPr>
        <w:lastRenderedPageBreak/>
        <w:t>1.5. IZVJEŠTAJ O DANIM JAMSTVIMA I IZDACIMA PO JAMSTVIMA</w:t>
      </w:r>
    </w:p>
    <w:p w14:paraId="2661C409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0FAA49E4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b/>
          <w:bCs/>
          <w:lang w:eastAsia="en-US"/>
        </w:rPr>
        <w:tab/>
      </w:r>
      <w:r w:rsidRPr="00086491">
        <w:rPr>
          <w:lang w:eastAsia="en-US"/>
        </w:rPr>
        <w:t xml:space="preserve">Općina Vojnić u proračunskom razdoblju do 31.12.2025. nije davala jamstva, niti imala izdatke  po jamstvima, te nije bila u obvezi temeljem članka 9. Pravilnika izraditi tablični pregled s podacima o danim i protestiranim jamstvima u 2025. godini, te stanju obveza i potraživanja na početku i na kraju proračunske godine. </w:t>
      </w:r>
    </w:p>
    <w:p w14:paraId="12E16149" w14:textId="77777777" w:rsidR="00982611" w:rsidRPr="00086491" w:rsidRDefault="00982611" w:rsidP="0098261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5DDC7F" w14:textId="77777777" w:rsidR="00982611" w:rsidRPr="000B2301" w:rsidRDefault="00982611" w:rsidP="0098261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86491">
        <w:rPr>
          <w:rFonts w:ascii="Times New Roman" w:hAnsi="Times New Roman"/>
          <w:b/>
          <w:bCs/>
          <w:sz w:val="24"/>
          <w:szCs w:val="24"/>
        </w:rPr>
        <w:t xml:space="preserve">1.6. OBRAZLOŽENJE OSTVARENJA PRIHODA I PRIMITAKA, RASHODA I IZDATAKA </w:t>
      </w:r>
    </w:p>
    <w:p w14:paraId="0AE0F012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  <w:t xml:space="preserve">U godišnjem izvještaju  za 2025. godinu  prema Pravilniku  o polugodišnjem i godišnjem izvještaju o izvršenju proračuna iskazan je </w:t>
      </w:r>
      <w:r w:rsidRPr="00086491">
        <w:rPr>
          <w:b/>
          <w:bCs/>
          <w:lang w:eastAsia="en-US"/>
        </w:rPr>
        <w:t>izvorni plan</w:t>
      </w:r>
      <w:r w:rsidRPr="00086491">
        <w:rPr>
          <w:lang w:eastAsia="en-US"/>
        </w:rPr>
        <w:t xml:space="preserve"> , tj. Proračun za 2025. godinu, donesen od strane predstavničkog tijela Općine Vojnić.</w:t>
      </w:r>
    </w:p>
    <w:p w14:paraId="7266A6CC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6719CC27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Podaci u općem dijelu Proračuna sukladno zakonskoj regulativi, sadrže pregled prihoda Općine Vojnić i proračunskih korisnika (Knjižnica i čitao</w:t>
      </w:r>
      <w:r>
        <w:rPr>
          <w:rFonts w:ascii="Times New Roman" w:hAnsi="Times New Roman"/>
          <w:sz w:val="24"/>
          <w:szCs w:val="24"/>
        </w:rPr>
        <w:t>ni</w:t>
      </w:r>
      <w:r w:rsidRPr="00086491">
        <w:rPr>
          <w:rFonts w:ascii="Times New Roman" w:hAnsi="Times New Roman"/>
          <w:sz w:val="24"/>
          <w:szCs w:val="24"/>
        </w:rPr>
        <w:t xml:space="preserve">ca Vojnić i Dječji vrtić Vojnić), a u posebnom dijelu iskazani su rashodi za Općinu Vojnić i proračunske korisnike, i to prema organizacijskoj, programskoj i ekonomskoj klasifikaciji. </w:t>
      </w:r>
    </w:p>
    <w:p w14:paraId="63B9F1AC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6F7936D6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b/>
          <w:bCs/>
          <w:sz w:val="24"/>
          <w:szCs w:val="24"/>
          <w:u w:val="single"/>
        </w:rPr>
        <w:t>U 2025. godini za Općinu Vojnić planirani su prihodi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poslovanja</w:t>
      </w:r>
      <w:r w:rsidRPr="00086491">
        <w:rPr>
          <w:rFonts w:ascii="Times New Roman" w:hAnsi="Times New Roman"/>
          <w:sz w:val="24"/>
          <w:szCs w:val="24"/>
        </w:rPr>
        <w:t xml:space="preserve"> u iznosu od 6.374.916,00 eura. Na dan 31.12.2025. godine ostvareni su prihodi u iznosu od 2.875.907,30 eura, odnosno 45,11% u odnosu na planirane prihode. Ti isti ostvareni prihodi u 2024. godini veći su za 2,14% od prihoda ostvarenih u 2024. godini, koji su iznosili 2.815.629,50 eura.</w:t>
      </w:r>
    </w:p>
    <w:p w14:paraId="1839AA67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774AF23A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lang w:eastAsia="en-US"/>
        </w:rPr>
        <w:t>U nastavku je dan pregled prihoda po skupinama konta u odnosu na godišnja ostvarenja za 2025. proračunsku godinu i godišnje ostvarenje za 2024. godinu:</w:t>
      </w:r>
    </w:p>
    <w:p w14:paraId="113B9FD9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3510"/>
        <w:gridCol w:w="1843"/>
        <w:gridCol w:w="1559"/>
        <w:gridCol w:w="1134"/>
      </w:tblGrid>
      <w:tr w:rsidR="00982611" w:rsidRPr="00086491" w14:paraId="647AB875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F637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Skupina konta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602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Naziv konta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1056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  <w:r w:rsidRPr="00086491">
              <w:rPr>
                <w:lang w:eastAsia="en-US"/>
              </w:rPr>
              <w:t>Ostvarenje do 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8E5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  <w:r w:rsidRPr="00086491">
              <w:rPr>
                <w:lang w:eastAsia="en-US"/>
              </w:rPr>
              <w:t>Ostvarenje  do 31.12.2025.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0E1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</w:p>
          <w:p w14:paraId="101DDB82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  <w:r w:rsidRPr="00086491">
              <w:rPr>
                <w:lang w:eastAsia="en-US"/>
              </w:rPr>
              <w:t>Index</w:t>
            </w:r>
          </w:p>
        </w:tc>
      </w:tr>
      <w:tr w:rsidR="00982611" w:rsidRPr="00086491" w14:paraId="5251EC49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3D1D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6ED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Prihodi od poreza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A1ED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575.209,65</w:t>
            </w:r>
          </w:p>
          <w:p w14:paraId="2B61B6D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793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639.394,89</w:t>
            </w:r>
          </w:p>
          <w:p w14:paraId="0CC94404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008E" w14:textId="77777777" w:rsidR="00982611" w:rsidRPr="00086491" w:rsidRDefault="00982611" w:rsidP="00411B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111,16%</w:t>
            </w:r>
          </w:p>
          <w:p w14:paraId="45791CC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both"/>
              <w:rPr>
                <w:lang w:eastAsia="en-US"/>
              </w:rPr>
            </w:pPr>
          </w:p>
        </w:tc>
      </w:tr>
      <w:tr w:rsidR="00982611" w:rsidRPr="00086491" w14:paraId="1EA6F91C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9F3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9E29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Pomoći iz inozemstva i od subjekata unutar općeg proračuna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4AD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1.871.604,58</w:t>
            </w:r>
          </w:p>
          <w:p w14:paraId="7F5DBEB6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25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1.830.973,61</w:t>
            </w:r>
          </w:p>
          <w:p w14:paraId="6BE4AD3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FA6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97,83%</w:t>
            </w:r>
          </w:p>
          <w:p w14:paraId="0B96437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  <w:tr w:rsidR="00982611" w:rsidRPr="00086491" w14:paraId="6803CD37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6897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0BED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Prihodi od imovine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36E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60.055,83</w:t>
            </w:r>
          </w:p>
          <w:p w14:paraId="5AAFF68E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94DB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72.197,07</w:t>
            </w:r>
          </w:p>
          <w:p w14:paraId="31656549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5F3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120,22%</w:t>
            </w:r>
          </w:p>
          <w:p w14:paraId="75AF7AB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  <w:tr w:rsidR="00982611" w:rsidRPr="00086491" w14:paraId="21E01206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B83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95F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Prihodi od upravnih i administrativnih pristojbi, pristojbi po posebnim propisima i naknada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E4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278.862,70</w:t>
            </w:r>
          </w:p>
          <w:p w14:paraId="2BAAEA5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8C3C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320.953,03</w:t>
            </w:r>
          </w:p>
          <w:p w14:paraId="7229B834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DFF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115,09%</w:t>
            </w:r>
          </w:p>
          <w:p w14:paraId="3E962A4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  <w:tr w:rsidR="00982611" w:rsidRPr="00086491" w14:paraId="6E26B028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472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3866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Prihodi od prodaje proizvoda i robe te pruženih usluga i prihodi od donacija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3F4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29.257,49</w:t>
            </w:r>
          </w:p>
          <w:p w14:paraId="2D6DAE12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A7A0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12.388,70</w:t>
            </w:r>
          </w:p>
          <w:p w14:paraId="311AA315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1D1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42,34%</w:t>
            </w:r>
          </w:p>
          <w:p w14:paraId="213AF71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  <w:tr w:rsidR="00982611" w:rsidRPr="00086491" w14:paraId="1AC5CFCD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D734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68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CA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Kazne, upravne mjere i ostali prihodi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C8B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639,25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CF7E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0086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0,00%</w:t>
            </w:r>
          </w:p>
        </w:tc>
      </w:tr>
      <w:tr w:rsidR="00982611" w:rsidRPr="00086491" w14:paraId="17E73868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AB0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lastRenderedPageBreak/>
              <w:t>72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6D2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Prihodi od prodaje proizvedene dugotrajne imovine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5911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16.506,66</w:t>
            </w:r>
          </w:p>
          <w:p w14:paraId="0C6A9F25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A3B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2.867,81</w:t>
            </w:r>
          </w:p>
          <w:p w14:paraId="3F5D77B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7752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491">
              <w:rPr>
                <w:rFonts w:ascii="Times New Roman" w:hAnsi="Times New Roman"/>
                <w:sz w:val="24"/>
                <w:szCs w:val="24"/>
              </w:rPr>
              <w:t>17,37%</w:t>
            </w:r>
          </w:p>
          <w:p w14:paraId="557F839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  <w:tr w:rsidR="00982611" w:rsidRPr="00086491" w14:paraId="7ADCAA14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A262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92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50B5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Višak prihoda poslovanja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80E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155.747,27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A4E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76.099,34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21D" w14:textId="77777777" w:rsidR="00982611" w:rsidRPr="00086491" w:rsidRDefault="00982611" w:rsidP="00411B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48,86</w:t>
            </w:r>
            <w:r w:rsidRPr="00086491"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5246A2B4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</w:p>
        </w:tc>
      </w:tr>
    </w:tbl>
    <w:p w14:paraId="7E75C789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0774BFCB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</w:p>
    <w:p w14:paraId="24EE8D50" w14:textId="77777777" w:rsidR="00982611" w:rsidRPr="00BE7C47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Za razdoblje od 01.01. do 30.12.2025. godine Općina Vojnić ostvarila je</w:t>
      </w:r>
      <w:r>
        <w:rPr>
          <w:rFonts w:ascii="Times New Roman" w:hAnsi="Times New Roman"/>
          <w:sz w:val="24"/>
          <w:szCs w:val="24"/>
        </w:rPr>
        <w:t xml:space="preserve"> ukupne</w:t>
      </w:r>
      <w:r w:rsidRPr="00086491">
        <w:rPr>
          <w:rFonts w:ascii="Times New Roman" w:hAnsi="Times New Roman"/>
          <w:sz w:val="24"/>
          <w:szCs w:val="24"/>
        </w:rPr>
        <w:t xml:space="preserve"> prihode i primitke u iznosu od </w:t>
      </w:r>
      <w:r w:rsidRPr="00086491">
        <w:rPr>
          <w:rFonts w:ascii="Times New Roman" w:hAnsi="Times New Roman"/>
          <w:b/>
          <w:bCs/>
          <w:sz w:val="24"/>
          <w:szCs w:val="24"/>
        </w:rPr>
        <w:t>2.878.775,11 eura</w:t>
      </w:r>
      <w:r w:rsidRPr="00086491">
        <w:rPr>
          <w:rFonts w:ascii="Times New Roman" w:hAnsi="Times New Roman"/>
          <w:sz w:val="24"/>
          <w:szCs w:val="24"/>
        </w:rPr>
        <w:t xml:space="preserve"> i to za prihode poslovanja u iznosu od 2.875.907,30 eura i prihode od prodaje nefinancijske imovine u iznosu od 2.867,81 eura.</w:t>
      </w:r>
    </w:p>
    <w:p w14:paraId="6EB0033C" w14:textId="77777777" w:rsidR="00982611" w:rsidRPr="00BE7C47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  <w:t xml:space="preserve">Iz iskazanih podataka vidljivo je da je u izvještajnom razdoblju od 01.01.2025. do 31.12.2025. godine Općine Vojnić ostvaren </w:t>
      </w:r>
      <w:r>
        <w:rPr>
          <w:rFonts w:ascii="Times New Roman" w:hAnsi="Times New Roman"/>
          <w:sz w:val="24"/>
          <w:szCs w:val="24"/>
        </w:rPr>
        <w:t>višak</w:t>
      </w:r>
      <w:r w:rsidRPr="00086491">
        <w:rPr>
          <w:rFonts w:ascii="Times New Roman" w:hAnsi="Times New Roman"/>
          <w:sz w:val="24"/>
          <w:szCs w:val="24"/>
        </w:rPr>
        <w:t xml:space="preserve"> prihoda i primitaka, u odnosu na rashode i izdatke, u visini od </w:t>
      </w:r>
      <w:r>
        <w:rPr>
          <w:rFonts w:ascii="Times New Roman" w:hAnsi="Times New Roman"/>
          <w:sz w:val="24"/>
          <w:szCs w:val="24"/>
        </w:rPr>
        <w:t>76.099,34</w:t>
      </w:r>
      <w:r w:rsidRPr="00086491">
        <w:rPr>
          <w:rFonts w:ascii="Times New Roman" w:hAnsi="Times New Roman"/>
          <w:sz w:val="24"/>
          <w:szCs w:val="24"/>
        </w:rPr>
        <w:t xml:space="preserve"> </w:t>
      </w:r>
      <w:r w:rsidRPr="00086491">
        <w:rPr>
          <w:rFonts w:ascii="Times New Roman" w:hAnsi="Times New Roman"/>
          <w:sz w:val="24"/>
          <w:szCs w:val="24"/>
          <w:u w:val="single"/>
        </w:rPr>
        <w:t>eura.</w:t>
      </w:r>
      <w:r w:rsidRPr="00086491">
        <w:rPr>
          <w:rFonts w:ascii="Times New Roman" w:hAnsi="Times New Roman"/>
          <w:sz w:val="24"/>
          <w:szCs w:val="24"/>
        </w:rPr>
        <w:t xml:space="preserve"> U rezultat poslovanja uključen je i višak iz prethodnih godin</w:t>
      </w:r>
      <w:r>
        <w:rPr>
          <w:rFonts w:ascii="Times New Roman" w:hAnsi="Times New Roman"/>
          <w:sz w:val="24"/>
          <w:szCs w:val="24"/>
        </w:rPr>
        <w:t>a</w:t>
      </w:r>
      <w:r w:rsidRPr="00086491">
        <w:rPr>
          <w:rFonts w:ascii="Times New Roman" w:hAnsi="Times New Roman"/>
          <w:sz w:val="24"/>
          <w:szCs w:val="24"/>
        </w:rPr>
        <w:t xml:space="preserve">. </w:t>
      </w:r>
    </w:p>
    <w:p w14:paraId="71791871" w14:textId="77777777" w:rsidR="00982611" w:rsidRPr="00BE7C47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b/>
          <w:bCs/>
          <w:sz w:val="24"/>
          <w:szCs w:val="24"/>
        </w:rPr>
        <w:t>Prihodi od poreza</w:t>
      </w:r>
      <w:r w:rsidRPr="00086491">
        <w:rPr>
          <w:rFonts w:ascii="Times New Roman" w:hAnsi="Times New Roman"/>
          <w:sz w:val="24"/>
          <w:szCs w:val="24"/>
        </w:rPr>
        <w:t xml:space="preserve">, skupina 61, ostvareni su u iznosu od </w:t>
      </w:r>
      <w:r w:rsidRPr="00086491">
        <w:rPr>
          <w:rFonts w:ascii="Times New Roman" w:hAnsi="Times New Roman"/>
          <w:b/>
          <w:bCs/>
          <w:sz w:val="24"/>
          <w:szCs w:val="24"/>
        </w:rPr>
        <w:t xml:space="preserve">639.394,89 </w:t>
      </w:r>
      <w:r w:rsidRPr="00086491">
        <w:rPr>
          <w:rFonts w:ascii="Times New Roman" w:hAnsi="Times New Roman"/>
          <w:sz w:val="24"/>
          <w:szCs w:val="24"/>
        </w:rPr>
        <w:t>eura, od čega su porez i prirez na dohodak 539.417,46 eura, porez na imovinu 79.638,08 eura</w:t>
      </w:r>
      <w:r>
        <w:rPr>
          <w:rFonts w:ascii="Times New Roman" w:hAnsi="Times New Roman"/>
          <w:sz w:val="24"/>
          <w:szCs w:val="24"/>
        </w:rPr>
        <w:t>,</w:t>
      </w:r>
      <w:r w:rsidRPr="00086491">
        <w:rPr>
          <w:rFonts w:ascii="Times New Roman" w:hAnsi="Times New Roman"/>
          <w:sz w:val="24"/>
          <w:szCs w:val="24"/>
        </w:rPr>
        <w:t xml:space="preserve"> a porez na potrošnju 20.339,35eura.</w:t>
      </w:r>
    </w:p>
    <w:p w14:paraId="4DABACCC" w14:textId="77777777" w:rsidR="00982611" w:rsidRPr="00BE7C47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b/>
          <w:bCs/>
          <w:sz w:val="24"/>
          <w:szCs w:val="24"/>
        </w:rPr>
        <w:t>Pomoći iz inozemstva i od subjekata unutar opće države</w:t>
      </w:r>
      <w:r w:rsidRPr="00086491">
        <w:rPr>
          <w:rFonts w:ascii="Times New Roman" w:hAnsi="Times New Roman"/>
          <w:sz w:val="24"/>
          <w:szCs w:val="24"/>
        </w:rPr>
        <w:t xml:space="preserve">, skupina 63, ostvarene su u iznosu od </w:t>
      </w:r>
      <w:r w:rsidRPr="00086491">
        <w:rPr>
          <w:rFonts w:ascii="Times New Roman" w:hAnsi="Times New Roman"/>
          <w:b/>
          <w:bCs/>
          <w:sz w:val="24"/>
          <w:szCs w:val="24"/>
        </w:rPr>
        <w:t xml:space="preserve">1.830.973,61 </w:t>
      </w:r>
      <w:r w:rsidRPr="00086491">
        <w:rPr>
          <w:rFonts w:ascii="Times New Roman" w:hAnsi="Times New Roman"/>
          <w:sz w:val="24"/>
          <w:szCs w:val="24"/>
        </w:rPr>
        <w:t>eura, a sastoje se od tekućih pomoći državnog proračuna Republike Hrvatske, u iznosu od 1.129.155,33 eura, kapitalnih pomoći državnog proračuna Republike Hrvatske u iznosu od 224.246,13 eura, tekućih pomoći u iznosu od 348.751,01 eura te kapitalnih pomoći temeljem prijenosa EU sredstava u iznosu od 128.821,14 eura.</w:t>
      </w:r>
    </w:p>
    <w:p w14:paraId="4E10F0CA" w14:textId="77777777" w:rsidR="00982611" w:rsidRPr="00BE7C47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b/>
          <w:bCs/>
          <w:sz w:val="24"/>
          <w:szCs w:val="24"/>
        </w:rPr>
        <w:t>Prihodi od imovine</w:t>
      </w:r>
      <w:r w:rsidRPr="00086491">
        <w:rPr>
          <w:rFonts w:ascii="Times New Roman" w:hAnsi="Times New Roman"/>
          <w:sz w:val="24"/>
          <w:szCs w:val="24"/>
        </w:rPr>
        <w:t>, skupina 64, ostvareni su u iznosu od 72.197,07 eura, a sastoje se od prihoda od zateznih kamata 106,82 eura, prihoda od zakupa poljoprivrednog zemljišta 44.949,39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6491">
        <w:rPr>
          <w:rFonts w:ascii="Times New Roman" w:hAnsi="Times New Roman"/>
          <w:sz w:val="24"/>
          <w:szCs w:val="24"/>
        </w:rPr>
        <w:t>eura, prihod od zakupa poslovnih objekata 27.140,86 eura.</w:t>
      </w:r>
      <w:r w:rsidRPr="00086491">
        <w:tab/>
      </w:r>
    </w:p>
    <w:p w14:paraId="7AF257AF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</w:r>
      <w:r w:rsidRPr="00086491">
        <w:rPr>
          <w:b/>
          <w:bCs/>
          <w:lang w:eastAsia="en-US"/>
        </w:rPr>
        <w:t>Prihodi od administrativnih pristojbi i po posebnim propisima</w:t>
      </w:r>
      <w:r w:rsidRPr="00086491">
        <w:rPr>
          <w:lang w:eastAsia="en-US"/>
        </w:rPr>
        <w:t>, skupina 65, ostvareni  su u iznosu od 320.953,03 eura, od čega su prihodi od upravnih pristojbi i naknada 2.608,24 eura, ostale pristojbe i naknade 6,15 eura, prihodi od doprinosa za šume 209.151,88 eura, prihodi od komunalnih doprinosa 389,19 eura te prihodi od komunalne naknade 108.803,72 eura.</w:t>
      </w:r>
    </w:p>
    <w:p w14:paraId="3E1AE0C4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</w:r>
      <w:r w:rsidRPr="00086491">
        <w:rPr>
          <w:b/>
          <w:bCs/>
          <w:lang w:eastAsia="en-US"/>
        </w:rPr>
        <w:t>Prihodi od prodaje proizvoda i robe te pruženih usluga</w:t>
      </w:r>
      <w:r w:rsidRPr="00086491">
        <w:rPr>
          <w:lang w:eastAsia="en-US"/>
        </w:rPr>
        <w:t>, skupina 66, ostvareni su u iznosu od 12.388,70 eura.</w:t>
      </w:r>
    </w:p>
    <w:p w14:paraId="282D9359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</w:r>
    </w:p>
    <w:p w14:paraId="777A967E" w14:textId="77777777" w:rsidR="00982611" w:rsidRPr="00086491" w:rsidRDefault="00982611" w:rsidP="00982611">
      <w:pPr>
        <w:jc w:val="both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b/>
          <w:bCs/>
          <w:sz w:val="24"/>
          <w:szCs w:val="24"/>
          <w:u w:val="single"/>
        </w:rPr>
        <w:t>Rashodi u izvršenju godišnjeg proračuna za 2025.godinu,</w:t>
      </w:r>
      <w:r w:rsidRPr="00086491">
        <w:rPr>
          <w:rFonts w:ascii="Times New Roman" w:hAnsi="Times New Roman"/>
          <w:sz w:val="24"/>
          <w:szCs w:val="24"/>
        </w:rPr>
        <w:t xml:space="preserve"> zajedno s proračunskim korisnicima, planirani su u iznosu od 4.027.535,00</w:t>
      </w:r>
      <w:r w:rsidRPr="000864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86491">
        <w:rPr>
          <w:rFonts w:ascii="Times New Roman" w:hAnsi="Times New Roman"/>
          <w:sz w:val="24"/>
          <w:szCs w:val="24"/>
        </w:rPr>
        <w:t>eura, a ostvareni u iznosu od 2.044.875,18 eura, odnosno 50,77% u odnosu na planirane rashode. Ti isti rashodi ostvareni u 2025. godini manji su za 1,52% od rashoda ostvarenih u 2024. godini, koji su iznosili 2.076.460,05 eura</w:t>
      </w:r>
      <w:r>
        <w:rPr>
          <w:rFonts w:ascii="Times New Roman" w:hAnsi="Times New Roman"/>
          <w:sz w:val="24"/>
          <w:szCs w:val="24"/>
        </w:rPr>
        <w:t>.</w:t>
      </w:r>
    </w:p>
    <w:p w14:paraId="34EC65D2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  <w:t>U nastavku se daje pregled rashoda po skupinama konta u odnosu godišnjeg ostvarenja za 2025. i 2024. proračunsku godinu, zajedno s proračunskim korisnicima:</w:t>
      </w:r>
    </w:p>
    <w:p w14:paraId="6C0B017A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3759"/>
        <w:gridCol w:w="1766"/>
        <w:gridCol w:w="1670"/>
        <w:gridCol w:w="1134"/>
      </w:tblGrid>
      <w:tr w:rsidR="00982611" w:rsidRPr="00086491" w14:paraId="0719F347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9D8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Skupina konta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453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Naziv konta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2ED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  <w:r w:rsidRPr="00086491">
              <w:rPr>
                <w:lang w:eastAsia="en-US"/>
              </w:rPr>
              <w:t>Ostvarenje do 31.12.2024.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8164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center"/>
              <w:rPr>
                <w:lang w:eastAsia="en-US"/>
              </w:rPr>
            </w:pPr>
            <w:r w:rsidRPr="00086491">
              <w:rPr>
                <w:lang w:eastAsia="en-US"/>
              </w:rPr>
              <w:t>Ostvarenje do 31.12.2025.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C08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Index</w:t>
            </w:r>
          </w:p>
        </w:tc>
      </w:tr>
      <w:tr w:rsidR="00982611" w:rsidRPr="00086491" w14:paraId="2509CB24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992D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31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178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Rashodi za zaposlene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A17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824.324,64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ED3D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715.120,81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2C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86,75%</w:t>
            </w:r>
          </w:p>
        </w:tc>
      </w:tr>
      <w:tr w:rsidR="00982611" w:rsidRPr="00086491" w14:paraId="6A4BDC74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E11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32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43D5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Materijalni rashodi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97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753.931,84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B2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646.308,96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439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85,73%</w:t>
            </w:r>
          </w:p>
        </w:tc>
      </w:tr>
      <w:tr w:rsidR="00982611" w:rsidRPr="00086491" w14:paraId="24E728D5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329E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34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C77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Financijski rashodi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FC6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6.074,31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984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6.270,98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662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103,24%</w:t>
            </w:r>
          </w:p>
        </w:tc>
      </w:tr>
      <w:tr w:rsidR="00982611" w:rsidRPr="00086491" w14:paraId="39CD8088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497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lastRenderedPageBreak/>
              <w:t>35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757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Subvencije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D74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6.916,20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D38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6.767,00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D0F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97,84%</w:t>
            </w:r>
          </w:p>
        </w:tc>
      </w:tr>
      <w:tr w:rsidR="00982611" w:rsidRPr="00086491" w14:paraId="74E77EDB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A1FF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37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7D2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Naknade građanima i kućanstvima na temelju osiguranja i dr. naknade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F3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61.790,11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878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76.959,91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02C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124,55%</w:t>
            </w:r>
          </w:p>
        </w:tc>
      </w:tr>
      <w:tr w:rsidR="00982611" w:rsidRPr="00086491" w14:paraId="5B66EE80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8D5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38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577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Ostali rashodi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40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423.422,95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DE2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593.447,52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037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140,15%</w:t>
            </w:r>
          </w:p>
        </w:tc>
      </w:tr>
      <w:tr w:rsidR="00982611" w:rsidRPr="00086491" w14:paraId="710A83B4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8649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41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539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Rashodi za nabavu ne proizvedene dugotrajne imovine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D298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0,00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E0C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1.500,00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1D7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0,00%</w:t>
            </w:r>
          </w:p>
        </w:tc>
      </w:tr>
      <w:tr w:rsidR="00982611" w:rsidRPr="00086491" w14:paraId="479106B6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7EFC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42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6749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Rashodi za nabavu proizvedene dugotrajne imovine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17EA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753.568,90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2EE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720.888,61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CF13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95,66%</w:t>
            </w:r>
          </w:p>
        </w:tc>
      </w:tr>
      <w:tr w:rsidR="00982611" w:rsidRPr="00086491" w14:paraId="7B6A5EAA" w14:textId="77777777" w:rsidTr="00411B49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42DE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45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14D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rPr>
                <w:lang w:eastAsia="en-US"/>
              </w:rPr>
            </w:pPr>
            <w:r w:rsidRPr="00086491">
              <w:rPr>
                <w:lang w:eastAsia="en-US"/>
              </w:rPr>
              <w:t>Rashodi za dodatna ulaganja na nefinancijskoj imovini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6B6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205.931,60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CB61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146.990,66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041B" w14:textId="77777777" w:rsidR="00982611" w:rsidRPr="00086491" w:rsidRDefault="00982611" w:rsidP="00411B49">
            <w:pPr>
              <w:pStyle w:val="t-9-8"/>
              <w:spacing w:before="0" w:beforeAutospacing="0" w:after="0" w:afterAutospacing="0" w:line="252" w:lineRule="auto"/>
              <w:jc w:val="right"/>
              <w:rPr>
                <w:lang w:eastAsia="en-US"/>
              </w:rPr>
            </w:pPr>
            <w:r w:rsidRPr="00086491">
              <w:rPr>
                <w:lang w:eastAsia="en-US"/>
              </w:rPr>
              <w:t>71,38%</w:t>
            </w:r>
          </w:p>
        </w:tc>
      </w:tr>
    </w:tbl>
    <w:p w14:paraId="3ABE9E50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</w:p>
    <w:p w14:paraId="3DCC34F6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  <w:t>Namjenu primljenih sredstava iz Proračuna proračunski korisnici određuju sami prilikom izrade Proračuna Općine Vojnić (u svojim financijskim planovima pripadajućim sredstvima iz proračuna Općine određuju namjenu – plaće, ostali materijalni rashodi i sl.). Ostale rashode svog poslovanja proračunski korisnici pokrivaju iz vlastitih i ostalih prihoda. Svi prihodi proračunskih korisnika (vlastiti, ostali i prihodi iz proračuna Općine te ukupni rashodi i izdaci proračunskih korisnika vidljivi su u njihovim financijskim izvještajima i obrazloženjima.</w:t>
      </w:r>
    </w:p>
    <w:p w14:paraId="5E18894C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  <w:t xml:space="preserve">Svi rashodi i izdaci za godišnje razdoblje 2025. godine detaljno su vidljivi  po programima i aktivnostima u posebnom dijelu proračuna Općine Vojnić. </w:t>
      </w:r>
    </w:p>
    <w:p w14:paraId="6E5810D5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</w:p>
    <w:p w14:paraId="438AAE9E" w14:textId="77777777" w:rsidR="00982611" w:rsidRPr="00086491" w:rsidRDefault="00982611" w:rsidP="00982611">
      <w:pPr>
        <w:pStyle w:val="t-9-8"/>
        <w:spacing w:before="0" w:beforeAutospacing="0" w:after="0" w:afterAutospacing="0"/>
        <w:ind w:left="360" w:firstLine="348"/>
        <w:jc w:val="both"/>
        <w:rPr>
          <w:lang w:eastAsia="en-US"/>
        </w:rPr>
      </w:pPr>
      <w:r w:rsidRPr="00086491">
        <w:rPr>
          <w:lang w:eastAsia="en-US"/>
        </w:rPr>
        <w:t>Rashodi  u izvršenju Proračuna su sljedeći:</w:t>
      </w:r>
    </w:p>
    <w:p w14:paraId="3A59CB53" w14:textId="77777777" w:rsidR="00982611" w:rsidRPr="00086491" w:rsidRDefault="00982611" w:rsidP="00982611">
      <w:pPr>
        <w:pStyle w:val="t-9-8"/>
        <w:spacing w:before="0" w:beforeAutospacing="0" w:after="0" w:afterAutospacing="0"/>
        <w:ind w:left="360" w:firstLine="348"/>
        <w:jc w:val="both"/>
        <w:rPr>
          <w:lang w:eastAsia="en-US"/>
        </w:rPr>
      </w:pPr>
    </w:p>
    <w:p w14:paraId="21DA0685" w14:textId="77777777" w:rsidR="00982611" w:rsidRPr="00086491" w:rsidRDefault="00982611" w:rsidP="00982611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>rashodi poslovanja (za zaposlene, materijalni rashodi, financijski rashodi, subvencije, naknade građanima  i kućanstvima na temelju osiguranja, te ostali rashodi)</w:t>
      </w:r>
    </w:p>
    <w:p w14:paraId="4438EE37" w14:textId="77777777" w:rsidR="00982611" w:rsidRPr="00086491" w:rsidRDefault="00982611" w:rsidP="00982611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>rashodi za nabavu nefinancijske imovine (za nabavu ne proizvedene dugotrajne imovine, za nabavu proizvedene dugotrajne imovine, za dodatna ulaganja na  nefinancijskoj imovini).</w:t>
      </w:r>
    </w:p>
    <w:p w14:paraId="57177BE9" w14:textId="77777777" w:rsidR="00982611" w:rsidRPr="00086491" w:rsidRDefault="00982611" w:rsidP="00982611">
      <w:pPr>
        <w:pStyle w:val="t-9-8"/>
        <w:spacing w:before="0" w:beforeAutospacing="0" w:after="0" w:afterAutospacing="0"/>
        <w:ind w:left="360"/>
        <w:rPr>
          <w:lang w:eastAsia="en-US"/>
        </w:rPr>
      </w:pPr>
    </w:p>
    <w:p w14:paraId="3AF981DF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b/>
          <w:bCs/>
          <w:lang w:eastAsia="en-US"/>
        </w:rPr>
        <w:t>Rashodi za zaposlene</w:t>
      </w:r>
      <w:r w:rsidRPr="00086491">
        <w:rPr>
          <w:lang w:eastAsia="en-US"/>
        </w:rPr>
        <w:t>, skupina 31, ostvareni su u iznosu od 715.120,81eura, a odnose se na djelatnike Općine Vojnić, proračunske korisnike Knjižnicu i čitaonicu Vojnić i Dječji vrtić Vojnić te plaće za zaposlene u projektu „Zaželi“ i Javnim radovima.</w:t>
      </w:r>
    </w:p>
    <w:p w14:paraId="10F814E4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lang w:eastAsia="en-US"/>
        </w:rPr>
        <w:t>U Općini Vojnić u 2025. godini bilo je zaposleno ukupno 11 djelatnika, od kojih 2 dužnosnika, 7 službenika i 2 vježbenika, 24 osobe zaposlene u sklopu provedbe projekta „ZAŽELI“, kroz javne radove bile su zaposlene 2 osobe. Što se tiče proračunskih korisnika, Knjižnica i čitaonica Vojnić imala je 4 djelatnika, a Dječji vrtić Vojnić ukupno 11.</w:t>
      </w:r>
    </w:p>
    <w:p w14:paraId="1846303E" w14:textId="77777777" w:rsidR="00982611" w:rsidRPr="00086491" w:rsidRDefault="00982611" w:rsidP="00982611">
      <w:pPr>
        <w:pStyle w:val="t-9-8"/>
        <w:spacing w:before="0" w:beforeAutospacing="0" w:after="0" w:afterAutospacing="0"/>
        <w:ind w:firstLine="360"/>
        <w:jc w:val="both"/>
        <w:rPr>
          <w:lang w:eastAsia="en-US"/>
        </w:rPr>
      </w:pPr>
    </w:p>
    <w:p w14:paraId="57B583F4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b/>
          <w:bCs/>
          <w:lang w:eastAsia="en-US"/>
        </w:rPr>
        <w:t>Materijalni rashodi</w:t>
      </w:r>
      <w:r w:rsidRPr="00086491">
        <w:rPr>
          <w:lang w:eastAsia="en-US"/>
        </w:rPr>
        <w:t>, skupina 32, ostvareni su u iznosu 646.308,96 eura od čega su naknade troškova zaposlenih 29.693,31 eura rashodi za materijal i energiju 77.552,55 eura, rashodi za usluge 473.160,04 eura te ostali nespomenuti rashodi poslovanja ukupno 65.903,06 eura, od čega: naknade za rad predstavničkih i izvršnih tijela 41.200,78 eura, premije osiguranja 7.431,97 eura, reprezentacija 11.842,92 eura, članarine i norme 2.112,24 eura, pristojbe i naknade 706,82 eura te ostali nespomenuti rashodi poslovanja 2.608,33 eura.</w:t>
      </w:r>
    </w:p>
    <w:p w14:paraId="699401C7" w14:textId="77777777" w:rsidR="00982611" w:rsidRPr="00086491" w:rsidRDefault="00982611" w:rsidP="00982611">
      <w:pPr>
        <w:pStyle w:val="t-9-8"/>
        <w:spacing w:before="0" w:beforeAutospacing="0" w:after="0" w:afterAutospacing="0"/>
        <w:ind w:firstLine="360"/>
        <w:jc w:val="both"/>
        <w:rPr>
          <w:lang w:eastAsia="en-US"/>
        </w:rPr>
      </w:pPr>
    </w:p>
    <w:p w14:paraId="6E151CD6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highlight w:val="yellow"/>
          <w:lang w:eastAsia="en-US"/>
        </w:rPr>
      </w:pPr>
      <w:r w:rsidRPr="00086491">
        <w:rPr>
          <w:b/>
          <w:bCs/>
          <w:lang w:eastAsia="en-US"/>
        </w:rPr>
        <w:t>Financijski rashodi</w:t>
      </w:r>
      <w:r w:rsidRPr="00086491">
        <w:rPr>
          <w:lang w:eastAsia="en-US"/>
        </w:rPr>
        <w:t>, skupina 34, ostvareni su u iznosu od 6.270,98 eura, a odnose se na, bankarske usluge i platnog prometa 4.785,88 eura, zatezne kamate 253,19 eura te ostali rashodi 1.231,91 eura.</w:t>
      </w:r>
    </w:p>
    <w:p w14:paraId="3B002D03" w14:textId="77777777" w:rsidR="00982611" w:rsidRPr="00086491" w:rsidRDefault="00982611" w:rsidP="00982611">
      <w:pPr>
        <w:pStyle w:val="t-9-8"/>
        <w:spacing w:before="0" w:beforeAutospacing="0" w:after="0" w:afterAutospacing="0"/>
        <w:ind w:firstLine="360"/>
        <w:rPr>
          <w:highlight w:val="yellow"/>
          <w:lang w:eastAsia="en-US"/>
        </w:rPr>
      </w:pPr>
    </w:p>
    <w:p w14:paraId="10CB9BE4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b/>
          <w:bCs/>
          <w:lang w:eastAsia="en-US"/>
        </w:rPr>
        <w:lastRenderedPageBreak/>
        <w:t>Subvencije,</w:t>
      </w:r>
      <w:r w:rsidRPr="00086491">
        <w:rPr>
          <w:lang w:eastAsia="en-US"/>
        </w:rPr>
        <w:t xml:space="preserve"> skupina 35, odnose se na subvencije poljoprivrednicima za osiguravanje usjeva i nasada, za subvenciju </w:t>
      </w:r>
      <w:proofErr w:type="spellStart"/>
      <w:r w:rsidRPr="00086491">
        <w:rPr>
          <w:lang w:eastAsia="en-US"/>
        </w:rPr>
        <w:t>osjemenjivanja</w:t>
      </w:r>
      <w:proofErr w:type="spellEnd"/>
      <w:r w:rsidRPr="00086491">
        <w:rPr>
          <w:lang w:eastAsia="en-US"/>
        </w:rPr>
        <w:t xml:space="preserve"> stoke i subvenciju očuvanja pčelinjeg fonda, a ostvarene su u iznosu od 6.767,00 eura.</w:t>
      </w:r>
    </w:p>
    <w:p w14:paraId="6E283E76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highlight w:val="yellow"/>
          <w:lang w:eastAsia="en-US"/>
        </w:rPr>
      </w:pPr>
    </w:p>
    <w:p w14:paraId="18F11D65" w14:textId="77777777" w:rsidR="00982611" w:rsidRPr="00086491" w:rsidRDefault="00982611" w:rsidP="00982611">
      <w:pPr>
        <w:pStyle w:val="t-9-8"/>
        <w:spacing w:before="0" w:beforeAutospacing="0" w:after="0" w:afterAutospacing="0"/>
        <w:ind w:firstLine="708"/>
        <w:jc w:val="both"/>
        <w:rPr>
          <w:lang w:eastAsia="en-US"/>
        </w:rPr>
      </w:pPr>
      <w:r w:rsidRPr="00086491">
        <w:rPr>
          <w:b/>
          <w:bCs/>
          <w:lang w:eastAsia="en-US"/>
        </w:rPr>
        <w:t>Naknade  građanima i kućanstvima</w:t>
      </w:r>
      <w:r w:rsidRPr="00086491">
        <w:rPr>
          <w:lang w:eastAsia="en-US"/>
        </w:rPr>
        <w:t>, skupina 37, ostvarene su u iznosu od 76.959,91 eura, a odnose se na naknade građanima i kućanstvima, pomoć osobama s invaliditetom, stipendije i školarine, naknade za novorođenčad, pomoć za troškove stanovanja i ogrjeva, sufinanciranje cijene prijevoza učenika te ostale naknade iz proračuna u naravi.</w:t>
      </w:r>
    </w:p>
    <w:p w14:paraId="75016E26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highlight w:val="yellow"/>
          <w:lang w:eastAsia="en-US"/>
        </w:rPr>
      </w:pPr>
    </w:p>
    <w:p w14:paraId="52EBAC6D" w14:textId="77777777" w:rsidR="00982611" w:rsidRPr="00086491" w:rsidRDefault="00982611" w:rsidP="00982611">
      <w:pPr>
        <w:pStyle w:val="t-9-8"/>
        <w:spacing w:before="0" w:beforeAutospacing="0" w:after="0" w:afterAutospacing="0"/>
        <w:jc w:val="both"/>
        <w:rPr>
          <w:lang w:eastAsia="en-US"/>
        </w:rPr>
      </w:pPr>
      <w:r w:rsidRPr="00086491">
        <w:rPr>
          <w:lang w:eastAsia="en-US"/>
        </w:rPr>
        <w:tab/>
      </w:r>
      <w:r w:rsidRPr="00086491">
        <w:rPr>
          <w:b/>
          <w:bCs/>
          <w:lang w:eastAsia="en-US"/>
        </w:rPr>
        <w:t>Pod ostalim rashodima,</w:t>
      </w:r>
      <w:r w:rsidRPr="00086491">
        <w:rPr>
          <w:lang w:eastAsia="en-US"/>
        </w:rPr>
        <w:t xml:space="preserve"> skupina 38, ostvareno je 593.447,52 eura, a odnose se na tekuće i kapitalne donacije u novcu raznim udrugama i političkim strankama koje nisu proračunski korisnici</w:t>
      </w:r>
      <w:r>
        <w:rPr>
          <w:lang w:eastAsia="en-US"/>
        </w:rPr>
        <w:t>.</w:t>
      </w:r>
    </w:p>
    <w:p w14:paraId="3642BEEB" w14:textId="77777777" w:rsidR="00982611" w:rsidRPr="00086491" w:rsidRDefault="00982611" w:rsidP="00982611">
      <w:pPr>
        <w:pStyle w:val="t-9-8"/>
        <w:spacing w:before="0" w:beforeAutospacing="0" w:after="0" w:afterAutospacing="0"/>
        <w:rPr>
          <w:lang w:eastAsia="en-US"/>
        </w:rPr>
      </w:pPr>
      <w:r w:rsidRPr="00086491">
        <w:rPr>
          <w:lang w:eastAsia="en-US"/>
        </w:rPr>
        <w:tab/>
        <w:t xml:space="preserve">  </w:t>
      </w:r>
    </w:p>
    <w:p w14:paraId="39A317BC" w14:textId="77777777" w:rsidR="00982611" w:rsidRPr="00086491" w:rsidRDefault="00982611" w:rsidP="00982611">
      <w:pPr>
        <w:rPr>
          <w:rFonts w:ascii="Times New Roman" w:hAnsi="Times New Roman"/>
          <w:sz w:val="24"/>
          <w:szCs w:val="24"/>
        </w:rPr>
      </w:pPr>
    </w:p>
    <w:p w14:paraId="40D26362" w14:textId="77777777" w:rsidR="00982611" w:rsidRPr="00086491" w:rsidRDefault="00982611" w:rsidP="00982611">
      <w:pPr>
        <w:jc w:val="center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sz w:val="24"/>
          <w:szCs w:val="24"/>
        </w:rPr>
        <w:tab/>
      </w:r>
      <w:r w:rsidRPr="00086491">
        <w:rPr>
          <w:rFonts w:ascii="Times New Roman" w:hAnsi="Times New Roman"/>
          <w:sz w:val="24"/>
          <w:szCs w:val="24"/>
        </w:rPr>
        <w:tab/>
      </w:r>
    </w:p>
    <w:p w14:paraId="623B8981" w14:textId="77777777" w:rsidR="00982611" w:rsidRPr="00086491" w:rsidRDefault="00982611" w:rsidP="00982611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086491">
        <w:rPr>
          <w:rFonts w:ascii="Times New Roman" w:hAnsi="Times New Roman"/>
          <w:sz w:val="24"/>
          <w:szCs w:val="24"/>
        </w:rPr>
        <w:t>PROČELNICA JUO</w:t>
      </w:r>
    </w:p>
    <w:p w14:paraId="5A072599" w14:textId="1B6AF050" w:rsidR="009D38F1" w:rsidRDefault="00982611" w:rsidP="00982611">
      <w:pPr>
        <w:spacing w:after="0" w:line="480" w:lineRule="auto"/>
        <w:jc w:val="right"/>
      </w:pPr>
      <w:r>
        <w:rPr>
          <w:rFonts w:ascii="Times New Roman" w:hAnsi="Times New Roman"/>
          <w:sz w:val="24"/>
          <w:szCs w:val="24"/>
        </w:rPr>
        <w:t>M</w:t>
      </w:r>
      <w:r w:rsidRPr="00086491">
        <w:rPr>
          <w:rFonts w:ascii="Times New Roman" w:hAnsi="Times New Roman"/>
          <w:sz w:val="24"/>
          <w:szCs w:val="24"/>
        </w:rPr>
        <w:t>arijana Ćorković Bilavčić, dipl.oec.,</w:t>
      </w:r>
    </w:p>
    <w:sectPr w:rsidR="009D3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34EC"/>
    <w:multiLevelType w:val="hybridMultilevel"/>
    <w:tmpl w:val="F5BA8500"/>
    <w:lvl w:ilvl="0" w:tplc="A112A77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98A7E29"/>
    <w:multiLevelType w:val="multilevel"/>
    <w:tmpl w:val="90BE51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79FF7D14"/>
    <w:multiLevelType w:val="multilevel"/>
    <w:tmpl w:val="7714AFA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837842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859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39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97"/>
    <w:rsid w:val="00395A97"/>
    <w:rsid w:val="004C08E4"/>
    <w:rsid w:val="00982611"/>
    <w:rsid w:val="009D38F1"/>
    <w:rsid w:val="00A869F4"/>
    <w:rsid w:val="00AC30F8"/>
    <w:rsid w:val="00BD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140E"/>
  <w15:chartTrackingRefBased/>
  <w15:docId w15:val="{418BBEC5-941D-4AE5-B5DC-10C05646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11"/>
    <w:pPr>
      <w:spacing w:line="252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95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5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5A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5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5A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5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5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5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5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5A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5A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5A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5A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5A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5A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5A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5A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5A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5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9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5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9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5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95A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5A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95A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5A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5A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5A97"/>
    <w:rPr>
      <w:b/>
      <w:bCs/>
      <w:smallCaps/>
      <w:color w:val="2F5496" w:themeColor="accent1" w:themeShade="BF"/>
      <w:spacing w:val="5"/>
    </w:rPr>
  </w:style>
  <w:style w:type="paragraph" w:customStyle="1" w:styleId="t-9-8">
    <w:name w:val="t-9-8"/>
    <w:basedOn w:val="Normal"/>
    <w:rsid w:val="009826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1891</Words>
  <Characters>10782</Characters>
  <Application>Microsoft Office Word</Application>
  <DocSecurity>0</DocSecurity>
  <Lines>89</Lines>
  <Paragraphs>25</Paragraphs>
  <ScaleCrop>false</ScaleCrop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Šarić</dc:creator>
  <cp:keywords/>
  <dc:description/>
  <cp:lastModifiedBy>Ljiljana Šarić</cp:lastModifiedBy>
  <cp:revision>2</cp:revision>
  <dcterms:created xsi:type="dcterms:W3CDTF">2026-09-10T09:29:00Z</dcterms:created>
  <dcterms:modified xsi:type="dcterms:W3CDTF">2026-09-10T09:29:00Z</dcterms:modified>
</cp:coreProperties>
</file>