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db6d0044c07f4ab8" /></Relationships>
</file>

<file path=word/document.xml><?xml version="1.0" encoding="utf-8"?>
<w:document xmlns:w="http://schemas.openxmlformats.org/wordprocessingml/2006/main">
  <w:body>
    <w:tbl>
      <w:tblPr>
        <w:tblW w:w="9000" w:type="dxa"/>
        <w:tblBorders>
          <w:top w:val="nil"/>
          <w:bottom w:val="nil"/>
          <w:left w:val="nil"/>
          <w:right w:val="nil"/>
          <w:insideH w:val="nil"/>
          <w:insideV w:val="nil"/>
        </w:tblBorders>
        <w:tblCellSpacing w:w="60" w:type="dxa"/>
        <w:shd w:val="clear" w:color="auto" w:fill="E7F0F9"/>
      </w:tblPr>
      <w:tblGrid>
        <w:gridCol w:w="1200"/>
        <w:gridCol w:w="4500"/>
      </w:tblGrid>
      <w:tr>
        <w:tc>
          <w:tcPr>
            <w:tcW w:w="1200" w:type="pct"/>
            <w:shd w:val="clear" w:color="auto" w:fill="E7F0F9"/>
          </w:tcPr>
          <w:p>
            <w:pPr>
              <w:spacing w:before="0" w:after="0" w:line="240" w:lineRule="auto"/>
              <w:jc w:val="left"/>
            </w:pPr>
            <w:r>
              <w:rPr>
                <w:b/>
              </w:rPr>
              <w:t xml:space="preserve">RKP broj</w:t>
            </w:r>
          </w:p>
        </w:tc>
        <w:tc>
          <w:tcPr>
            <w:shd w:val="clear" w:color="auto" w:fill="E7F0F9"/>
          </w:tcPr>
          <w:p>
            <w:pPr>
              <w:spacing w:before="0" w:after="0" w:line="240" w:lineRule="auto"/>
              <w:jc w:val="left"/>
            </w:pPr>
            <w:r>
              <w:t xml:space="preserve">27708</w:t>
            </w:r>
          </w:p>
        </w:tc>
      </w:tr>
      <w:tr>
        <w:tc>
          <w:tcPr>
            <w:tcW w:w="1200" w:type="pct"/>
            <w:shd w:val="clear" w:color="auto" w:fill="E7F0F9"/>
          </w:tcPr>
          <w:p>
            <w:pPr>
              <w:spacing w:before="0" w:after="0" w:line="240" w:lineRule="auto"/>
              <w:jc w:val="left"/>
            </w:pPr>
            <w:r>
              <w:rPr>
                <w:b/>
              </w:rPr>
              <w:t xml:space="preserve">Naziv obveznika</w:t>
            </w:r>
          </w:p>
        </w:tc>
        <w:tc>
          <w:tcPr>
            <w:shd w:val="clear" w:color="auto" w:fill="E7F0F9"/>
          </w:tcPr>
          <w:p>
            <w:pPr>
              <w:spacing w:before="0" w:after="0" w:line="240" w:lineRule="auto"/>
              <w:jc w:val="left"/>
            </w:pPr>
            <w:r>
              <w:t xml:space="preserve">OPĆINA VOJNIĆ</w:t>
            </w:r>
          </w:p>
        </w:tc>
      </w:tr>
      <w:tr>
        <w:tc>
          <w:tcPr>
            <w:tcW w:w="1200" w:type="pct"/>
            <w:shd w:val="clear" w:color="auto" w:fill="E7F0F9"/>
          </w:tcPr>
          <w:p>
            <w:pPr>
              <w:spacing w:before="0" w:after="0" w:line="240" w:lineRule="auto"/>
              <w:jc w:val="left"/>
            </w:pPr>
            <w:r>
              <w:rPr>
                <w:b/>
              </w:rPr>
              <w:t xml:space="preserve">Razina</w:t>
            </w:r>
          </w:p>
        </w:tc>
        <w:tc>
          <w:tcPr>
            <w:shd w:val="clear" w:color="auto" w:fill="E7F0F9"/>
          </w:tcPr>
          <w:p>
            <w:pPr>
              <w:spacing w:before="0" w:after="0" w:line="240" w:lineRule="auto"/>
              <w:jc w:val="left"/>
            </w:pPr>
            <w:r>
              <w:t xml:space="preserve">22</w:t>
            </w:r>
          </w:p>
        </w:tc>
      </w:tr>
    </w:tbl>
    <w:p>
      <w:r>
        <w:br/>
      </w:r>
    </w:p>
    <w:p>
      <w:pPr>
        <w:jc w:val="center"/>
        <w:pStyle w:val="Normal"/>
        <w:spacing w:line="240" w:lineRule="auto"/>
      </w:pPr>
      <w:r>
        <w:rPr>
          <w:b/>
          <w:sz w:val="28"/>
          <w:rFonts w:ascii="Times New Roman" w:hAnsi="Times New Roman"/>
        </w:rPr>
        <w:t xml:space="preserve">BILJEŠKE UZ FINANCIJSKE IZVJEŠTAJE</w:t>
      </w:r>
    </w:p>
    <w:p>
      <w:pPr>
        <w:jc w:val="center"/>
        <w:pStyle w:val="Normal"/>
        <w:spacing w:line="240" w:lineRule="auto"/>
      </w:pPr>
      <w:r>
        <w:rPr>
          <w:b/>
          <w:sz w:val="28"/>
          <w:rFonts w:ascii="Times New Roman" w:hAnsi="Times New Roman"/>
        </w:rPr>
        <w:t xml:space="preserve">ZA RAZDOBLJE</w:t>
      </w:r>
    </w:p>
    <w:p>
      <w:pPr>
        <w:jc w:val="center"/>
        <w:pStyle w:val="Normal"/>
        <w:spacing w:line="240" w:lineRule="auto"/>
      </w:pPr>
      <w:r>
        <w:rPr>
          <w:b/>
          <w:sz w:val="28"/>
          <w:rFonts w:ascii="Times New Roman" w:hAnsi="Times New Roman"/>
        </w:rPr>
        <w:t xml:space="preserve">I - VI 2026.</w:t>
      </w:r>
    </w:p>
    <w:p/>
    <w:p>
      <w:pPr>
        <w:jc w:val="center"/>
        <w:pStyle w:val="Normal"/>
        <w:spacing w:line="240" w:lineRule="auto"/>
        <w:keepNext/>
      </w:pPr>
      <w:r>
        <w:rPr>
          <w:b/>
          <w:sz w:val="28"/>
          <w:rFonts w:ascii="Times New Roman" w:hAnsi="Times New Roman"/>
        </w:rPr>
        <w:t xml:space="preserve">Izvještaj o prihodima i rashodima, primicima i izdacima</w:t>
      </w:r>
    </w:p>
    <w:p>
      <w:pPr>
        <w:jc w:val="center"/>
        <w:pStyle w:val="Normal"/>
        <w:spacing w:line="240" w:lineRule="auto"/>
        <w:keepNext/>
      </w:pPr>
      <w:r>
        <w:rPr>
          <w:sz w:val="28"/>
          <w:rFonts w:ascii="Times New Roman" w:hAnsi="Times New Roman"/>
        </w:rPr>
        <w:t xml:space="preserve">Bilješka 1.</w:t>
      </w:r>
    </w:p>
    <w:tbl>
      <w:tblPr>
        <w:tblBorders>
          <w:top w:val="single" w:color="BABABA" w:sz="12"/>
          <w:bottom w:val="single" w:color="BABABA" w:sz="12"/>
          <w:left w:val="single" w:color="BABABA" w:sz="12"/>
          <w:right w:val="single" w:color="BABABA" w:sz="12"/>
          <w:insideH w:val="single" w:color="BABABA" w:sz="8"/>
          <w:insideV w:val="single" w:color="DADADA" w:sz="8"/>
        </w:tblBorders>
        <w:tblW w:w="0" w:type="auto"/>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1.270.819,19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1.832.036,21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144,2</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992.858,39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1.397.813,76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140,8</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PRIHODA POSLOVANJA (šifre 6-Z005)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277.960,80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434.222,45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156,2</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nefinancijske imovine (šifre 71+72+73+74)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1.219,53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1.016,46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83,3</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245.050,78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20.840,63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8,5</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OD NEFINANCIJSKE IMOVINE (šifre 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243.831,25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19.824,17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8,1</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Primici od financijske imovine i zaduživanja (šifre 81+82+83+84+85)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Izdaci za financijsku imovinu i otplate zajmova (šifre 51+52+53+54+55)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VIŠAK/MANJAK PRIMITAKA OD FINANCIJSKE IMOVINE I ZADUŽIVANJA (šifre 8-5, 5-8)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X003, Y003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PRIHODA I PRIMITAKA (šifre X678-Y345)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34.129,55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414.398,28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1214,2</w:t>
            </w:r>
          </w:p>
        </w:tc>
      </w:tr>
    </w:tbl>
    <w:p>
      <w:pPr>
        <w:spacing w:before="0" w:after="0"/>
      </w:pPr>
    </w:p>
    <w:p>
      <w:r>
        <w:t xml:space="preserve">Općina Vojnić nalazi se u Karlovačkoj županiji. Nadležni je proračuna za proračunske korisnike Dječji vrtić Vojnić i Knjižnica i čitaonica Vojnić. Općina Vojnić, Trg Stjepana Radića 1, Vojnić; Razina 22; RKDP 27708; OIB: 32028576296; Matični broj 02604892 Šifra djelatnosti: 8510. Općina Vojnić djeluje po principima zakonskih okvira: Zakon o proračunu ( Narodne novine 144/21 ), Pravilnik o proračunskom računovodstvu i Računskom planu ( Narodne novine  158/23, 154/24 ), Pravilnik o financijskom izvještavanju u proračunskom računovodstvu   ( Narodne novine 52/25 ), Pravilnik o proračunskim klasifikacijama ( Narodne novine 4/24 ).   Izvještaj Općine Vojnić  sastavljen je za razdoblje od 01. siječnja do 30. lipnja 2025. godine i uključuje prihode i primitke, rashode i izdatke i obaveze Općine Vojnić.  Podaci za popunjavanje financijskih izvještaja dobivaju se iz Glavne knjige Općine Vojnić. Poslovanje Općine Vojnić obavlja se preko jedinstvenog računa  broj: HR73 2340 0091 8503 0000 8 otvorenog kod Privredne banke Zagreb d.d.  U promatranom izvještajnom razdoblju Općina Vojnić, ostvarila je višak prihoda poslovanja (šifra X001)u iznosu od 434.222,45 EUR i manjak prihoda od nefinancijske imovine (šifra Y002) u iznosu od 19.824,17 EUR, što je rezultiralo viškom prihoda i primitaka (šifra X005) u iznosu od 414.398,28 EUR.</w:t>
      </w:r>
    </w:p>
    <w:p>
      <w:r>
        <w:br/>
      </w:r>
    </w:p>
    <w:p>
      <w:pPr>
        <w:jc w:val="center"/>
        <w:pStyle w:val="Normal"/>
        <w:spacing w:line="240" w:lineRule="auto"/>
        <w:keepNext/>
      </w:pPr>
      <w:r>
        <w:rPr>
          <w:sz w:val="28"/>
          <w:rFonts w:ascii="Times New Roman" w:hAnsi="Times New Roman"/>
        </w:rPr>
        <w:t xml:space="preserve">Bilješka 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1.270.819,19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1.832.036,21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144,2</w:t>
            </w:r>
          </w:p>
        </w:tc>
      </w:tr>
    </w:tbl>
    <w:p>
      <w:pPr>
        <w:spacing w:before="0" w:after="0"/>
      </w:pPr>
    </w:p>
    <w:p>
      <w:r>
        <w:t xml:space="preserve">Prihodi poslovanja ostvareni su u iznosu od 1.832.036,21 eura, što je za 44,2 % više u odnosu na isto razdoblje prethodne godine. Povećanje je najvećim dijelom posljedica većeg ostvarenja prihoda od pomoći iz državnog proračuna i sredstava Europske unije te drugih namjenskih prihoda ostvarenih tijekom izvještajnog razdoblja.</w:t>
      </w:r>
    </w:p>
    <w:p/>
    <w:p>
      <w:pPr>
        <w:jc w:val="center"/>
        <w:pStyle w:val="Normal"/>
        <w:spacing w:line="240" w:lineRule="auto"/>
        <w:keepNext/>
      </w:pPr>
      <w:r>
        <w:rPr>
          <w:sz w:val="28"/>
          <w:rFonts w:ascii="Times New Roman" w:hAnsi="Times New Roman"/>
        </w:rPr>
        <w:t xml:space="preserve">Bilješka 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poreza (šifre 611+612+613+614+615+616)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296.840,48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407.428,88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137,3</w:t>
            </w:r>
          </w:p>
        </w:tc>
      </w:tr>
    </w:tbl>
    <w:p>
      <w:pPr>
        <w:spacing w:before="0" w:after="0"/>
      </w:pPr>
    </w:p>
    <w:p>
      <w:r>
        <w:t xml:space="preserve">Prihodi od poreza ostvareni su u iznosu od 407.428,88 eura, što predstavlja povećanje od 37,3 % u odnosu na isto razdoblje prethodne godine. Povećanje je rezultat većeg ostvarenja poreznih prihoda tijekom izvještajnog razdoblja, sukladno dinamici njihove naplate i kretanjima porezne osnovice.</w:t>
      </w:r>
    </w:p>
    <w:p/>
    <w:p>
      <w:pPr>
        <w:jc w:val="center"/>
        <w:pStyle w:val="Normal"/>
        <w:spacing w:line="240" w:lineRule="auto"/>
        <w:keepNext/>
      </w:pPr>
      <w:r>
        <w:rPr>
          <w:sz w:val="28"/>
          <w:rFonts w:ascii="Times New Roman" w:hAnsi="Times New Roman"/>
        </w:rPr>
        <w:t xml:space="preserve">Bilješka 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Porez na dohodak (šifre 6111 do 6116 - 6117 - 6119)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256.195,47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355.218,09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138,7</w:t>
            </w:r>
          </w:p>
        </w:tc>
      </w:tr>
    </w:tbl>
    <w:p>
      <w:pPr>
        <w:spacing w:before="0" w:after="0"/>
      </w:pPr>
    </w:p>
    <w:p>
      <w:r>
        <w:t xml:space="preserve">Prihodi od poreza na dohodak ostvareni su u iznosu od 355.218,09 eura, što predstavlja povećanje od 38,7 % u odnosu na isto razdoblje prethodne godine. Povećanje je rezultat većeg ostvarenja prihoda od poreza na dohodak tijekom izvještajnog razdoblja, odnosno povoljnijih kretanja u naplati i raspodjeli prihoda od poreza na dohodak.</w:t>
      </w:r>
    </w:p>
    <w:p/>
    <w:p>
      <w:pPr>
        <w:jc w:val="center"/>
        <w:pStyle w:val="Normal"/>
        <w:spacing w:line="240" w:lineRule="auto"/>
        <w:keepNext/>
      </w:pPr>
      <w:r>
        <w:rPr>
          <w:sz w:val="28"/>
          <w:rFonts w:ascii="Times New Roman" w:hAnsi="Times New Roman"/>
        </w:rPr>
        <w:t xml:space="preserve">Bilješka 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Porezi na imovinu (šifre 6131 do 6135)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30.882,96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43.672,68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141,4</w:t>
            </w:r>
          </w:p>
        </w:tc>
      </w:tr>
    </w:tbl>
    <w:p>
      <w:pPr>
        <w:spacing w:before="0" w:after="0"/>
      </w:pPr>
    </w:p>
    <w:p>
      <w:r>
        <w:t xml:space="preserve">Prihodi od poreza na imovinu ostvareni su u iznosu od 43.672,68 eura, što predstavlja povećanje od 41,4 % u odnosu na isto razdoblje prethodne godine. Povećanje je rezultat većeg ostvarenja prihoda od poreza na imovinu tijekom izvještajnog razdoblja, sukladno dinamici naplate i dospijeću poreznih obveza.</w:t>
      </w:r>
    </w:p>
    <w:p/>
    <w:p>
      <w:pPr>
        <w:jc w:val="center"/>
        <w:pStyle w:val="Normal"/>
        <w:spacing w:line="240" w:lineRule="auto"/>
        <w:keepNext/>
      </w:pPr>
      <w:r>
        <w:rPr>
          <w:sz w:val="28"/>
          <w:rFonts w:ascii="Times New Roman" w:hAnsi="Times New Roman"/>
        </w:rPr>
        <w:t xml:space="preserve">Bilješka 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6131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Stalni porezi na nepokretnu imovinu (zemlju, zgrade, kuće i ostalo)</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6131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790,21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266,46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33,7</w:t>
            </w:r>
          </w:p>
        </w:tc>
      </w:tr>
    </w:tbl>
    <w:p>
      <w:pPr>
        <w:spacing w:before="0" w:after="0"/>
      </w:pPr>
    </w:p>
    <w:p>
      <w:r>
        <w:t xml:space="preserve">Smanjenje prihoda od stalnih poreza na nepokretnu imovinu posljedica je manjeg ostvarenja prihoda od poreza na kuće za odmor u odnosu na isto razdoblje prethodne godine, što predstavlja smanjenje od 66,3 %.</w:t>
      </w:r>
    </w:p>
    <w:p/>
    <w:p>
      <w:pPr>
        <w:jc w:val="center"/>
        <w:pStyle w:val="Normal"/>
        <w:spacing w:line="240" w:lineRule="auto"/>
        <w:keepNext/>
      </w:pPr>
      <w:r>
        <w:rPr>
          <w:sz w:val="28"/>
          <w:rFonts w:ascii="Times New Roman" w:hAnsi="Times New Roman"/>
        </w:rPr>
        <w:t xml:space="preserve">Bilješka 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6134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Povremeni porezi na imovinu</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6134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30.092,75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43.406,22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144,2</w:t>
            </w:r>
          </w:p>
        </w:tc>
      </w:tr>
    </w:tbl>
    <w:p>
      <w:pPr>
        <w:spacing w:before="0" w:after="0"/>
      </w:pPr>
    </w:p>
    <w:p>
      <w:r>
        <w:t xml:space="preserve">Prihodi od povremenih poreza na imovinu ostvareni su u iznosu od 43.406,22 eura, što predstavlja povećanje od 44,2 % u odnosu na isto razdoblje prethodne godine. Povećanje je rezultat većeg ostvarenja prihoda po ovoj osnovi tijekom izvještajnog razdoblja, sukladno dinamici naplate i broju oporezivih transakcija.</w:t>
      </w:r>
    </w:p>
    <w:p/>
    <w:p>
      <w:pPr>
        <w:jc w:val="center"/>
        <w:pStyle w:val="Normal"/>
        <w:spacing w:line="240" w:lineRule="auto"/>
        <w:keepNext/>
      </w:pPr>
      <w:r>
        <w:rPr>
          <w:sz w:val="28"/>
          <w:rFonts w:ascii="Times New Roman" w:hAnsi="Times New Roman"/>
        </w:rPr>
        <w:t xml:space="preserve">Bilješka 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614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Porezi na robu i usluge (šifre 6141 do 61476148)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614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9.762,05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8.538,11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87,5</w:t>
            </w:r>
          </w:p>
        </w:tc>
      </w:tr>
    </w:tbl>
    <w:p>
      <w:pPr>
        <w:spacing w:before="0" w:after="0"/>
      </w:pPr>
    </w:p>
    <w:p>
      <w:r>
        <w:t xml:space="preserve">Prihodi od poreza na robu i usluge ostvareni su u iznosu od 8.538,11 eura, što predstavlja smanjenje od 12,5 % u odnosu na isto razdoblje prethodne godine. Smanjenje je posljedica manjeg ostvarenja prihoda od pojedinih poreza na robu i usluge te njihove dinamike naplate tijekom izvještajnog razdoblja.</w:t>
      </w:r>
    </w:p>
    <w:p/>
    <w:p>
      <w:pPr>
        <w:jc w:val="center"/>
        <w:pStyle w:val="Normal"/>
        <w:spacing w:line="240" w:lineRule="auto"/>
        <w:keepNext/>
      </w:pPr>
      <w:r>
        <w:rPr>
          <w:sz w:val="28"/>
          <w:rFonts w:ascii="Times New Roman" w:hAnsi="Times New Roman"/>
        </w:rPr>
        <w:t xml:space="preserve">Bilješka 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Pomoći iz inozemstva i od subjekata unutar općeg proračuna (šifre 631+632+633+634+635+636+637+638+639)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731.309,74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1.062.468,92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145,3</w:t>
            </w:r>
          </w:p>
        </w:tc>
      </w:tr>
    </w:tbl>
    <w:p>
      <w:pPr>
        <w:spacing w:before="0" w:after="0"/>
      </w:pPr>
    </w:p>
    <w:p>
      <w:r>
        <w:t xml:space="preserve">Povećanje prihoda od pomoći najvećim je dijelom rezultat većeg priljeva sredstava iz državnog proračuna i sredstava povezanih s provedbom projekata sufinanciranih sredstvima Europske unije, uključujući primljene predujmove za provedbu ugovorenih aktivnosti.</w:t>
      </w:r>
    </w:p>
    <w:p/>
    <w:p>
      <w:pPr>
        <w:jc w:val="center"/>
        <w:pStyle w:val="Normal"/>
        <w:spacing w:line="240" w:lineRule="auto"/>
        <w:keepNext/>
      </w:pPr>
      <w:r>
        <w:rPr>
          <w:sz w:val="28"/>
          <w:rFonts w:ascii="Times New Roman" w:hAnsi="Times New Roman"/>
        </w:rPr>
        <w:t xml:space="preserve">Bilješka 10.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Pomoći proračunu i izvanproračunskim korisnicima iz drugih proračuna (šifre 6331+6332)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152.570,36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654.814,76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429,2</w:t>
            </w:r>
          </w:p>
        </w:tc>
      </w:tr>
    </w:tbl>
    <w:p>
      <w:pPr>
        <w:spacing w:before="0" w:after="0"/>
      </w:pPr>
    </w:p>
    <w:p>
      <w:r>
        <w:t xml:space="preserve">Prihodi od pomoći proračunu i izvanproračunskim korisnicima iz drugih proračuna ostvareni su u iznosu od 654.814,76 eura, što predstavlja povećanje od 329,2 % u odnosu na isto razdoblje prethodne godine. Značajno povećanje rezultat je većeg ostvarenja pomoći iz drugih proračuna, odnosno većeg priljeva namjenskih sredstava za financiranje provedbe programa, projekata i drugih aktivnosti Općine.</w:t>
      </w:r>
    </w:p>
    <w:p/>
    <w:p>
      <w:pPr>
        <w:jc w:val="center"/>
        <w:pStyle w:val="Normal"/>
        <w:spacing w:line="240" w:lineRule="auto"/>
        <w:keepNext/>
      </w:pPr>
      <w:r>
        <w:rPr>
          <w:sz w:val="28"/>
          <w:rFonts w:ascii="Times New Roman" w:hAnsi="Times New Roman"/>
        </w:rPr>
        <w:t xml:space="preserve">Bilješka 11.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Tekuće pomoći proračunu i izvanproračunskim korisnicima iz drugih proračuna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152.570,36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634.337,77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415,8</w:t>
            </w:r>
          </w:p>
        </w:tc>
      </w:tr>
    </w:tbl>
    <w:p>
      <w:pPr>
        <w:spacing w:before="0" w:after="0"/>
      </w:pPr>
    </w:p>
    <w:p>
      <w:r>
        <w:t xml:space="preserve">Značajno povećanje prihoda od tekućih pomoći posljedica je većeg priljeva sredstava iz državnog proračuna i drugih izvora za financiranje tekućih potreba i programa Općine u odnosu na isto razdoblje prethodne godine.</w:t>
      </w:r>
    </w:p>
    <w:p/>
    <w:p>
      <w:pPr>
        <w:jc w:val="center"/>
        <w:pStyle w:val="Normal"/>
        <w:spacing w:line="240" w:lineRule="auto"/>
        <w:keepNext/>
      </w:pPr>
      <w:r>
        <w:rPr>
          <w:sz w:val="28"/>
          <w:rFonts w:ascii="Times New Roman" w:hAnsi="Times New Roman"/>
        </w:rPr>
        <w:t xml:space="preserve">Bilješka 12.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Kapitalne pomoći proračunu i izvanproračunskim korisnicima iz drugih proračuna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20.476,99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Kapitalne pomoći ostvarene su za financiranje kapitalnih ulaganja i nabavu dugotrajne imovine, čime se osigurava provedba planiranih razvojnih projekata Općine.</w:t>
      </w:r>
    </w:p>
    <w:p/>
    <w:p>
      <w:pPr>
        <w:jc w:val="center"/>
        <w:pStyle w:val="Normal"/>
        <w:spacing w:line="240" w:lineRule="auto"/>
        <w:keepNext/>
      </w:pPr>
      <w:r>
        <w:rPr>
          <w:sz w:val="28"/>
          <w:rFonts w:ascii="Times New Roman" w:hAnsi="Times New Roman"/>
        </w:rPr>
        <w:t xml:space="preserve">Bilješka 13.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imovine (šifre 641+642+643)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26.334,79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8.437,77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32,0</w:t>
            </w:r>
          </w:p>
        </w:tc>
      </w:tr>
    </w:tbl>
    <w:p>
      <w:pPr>
        <w:spacing w:before="0" w:after="0"/>
      </w:pPr>
    </w:p>
    <w:p>
      <w:r>
        <w:t xml:space="preserve">Prihodi od imovine ostvareni su u iznosu od 8.437,77 eura, što predstavlja smanjenje od 68,0 % u odnosu na isto razdoblje prethodne godine kada su iznosili 26.334,79 eura. Smanjenje prihoda od imovine rezultat je manjeg ostvarenja prihoda od pojedinih oblika imovine, odnosno smanjenja prihoda od kamata, zakupa, koncesija i drugih prihoda po osnovi korištenja imovine tijekom izvještajnog razdoblja.</w:t>
      </w:r>
    </w:p>
    <w:p/>
    <w:p>
      <w:pPr>
        <w:jc w:val="center"/>
        <w:pStyle w:val="Normal"/>
        <w:spacing w:line="240" w:lineRule="auto"/>
        <w:keepNext/>
      </w:pPr>
      <w:r>
        <w:rPr>
          <w:sz w:val="28"/>
          <w:rFonts w:ascii="Times New Roman" w:hAnsi="Times New Roman"/>
        </w:rPr>
        <w:t xml:space="preserve">Bilješka 14.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6422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zakupa i iznajmljivanja imovine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6422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3.003,71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7.059,71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235,0</w:t>
            </w:r>
          </w:p>
        </w:tc>
      </w:tr>
    </w:tbl>
    <w:p>
      <w:pPr>
        <w:spacing w:before="0" w:after="0"/>
      </w:pPr>
    </w:p>
    <w:p>
      <w:r>
        <w:t xml:space="preserve">Prihodi od zakupa i iznajmljivanja imovine ostvareni su u iznosu od 7.059,71 eura, što predstavlja povećanje od 135,0 % u odnosu na isto razdoblje prethodne godine kada su iznosili 3.003,71 eura. Povećanje prihoda rezultat je većeg ostvarenja prihoda od zakupa i iznajmljivanja općinske imovine, sukladno ugovorenim obvezama i dinamici naplate tijekom izvještajnog razdoblja.</w:t>
      </w:r>
    </w:p>
    <w:p/>
    <w:p>
      <w:pPr>
        <w:jc w:val="center"/>
        <w:pStyle w:val="Normal"/>
        <w:spacing w:line="240" w:lineRule="auto"/>
        <w:keepNext/>
      </w:pPr>
      <w:r>
        <w:rPr>
          <w:sz w:val="28"/>
          <w:rFonts w:ascii="Times New Roman" w:hAnsi="Times New Roman"/>
        </w:rPr>
        <w:t xml:space="preserve">Bilješka 15.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6423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Naknada za korištenje nefinancijske imovine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6423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23.263,78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1.360,19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5,8</w:t>
            </w:r>
          </w:p>
        </w:tc>
      </w:tr>
    </w:tbl>
    <w:p>
      <w:pPr>
        <w:spacing w:before="0" w:after="0"/>
      </w:pPr>
    </w:p>
    <w:p>
      <w:r>
        <w:t xml:space="preserve">Smanjenje prihoda na ovoj skupini posljedica je manjeg ostvarenja naknada za korištenje nefinancijske imovine u odnosu na prethodno razdoblje, zbog dinamike obračuna i naplate pojedinih naknad</w:t>
      </w:r>
    </w:p>
    <w:p/>
    <w:p>
      <w:pPr>
        <w:jc w:val="center"/>
        <w:pStyle w:val="Normal"/>
        <w:spacing w:line="240" w:lineRule="auto"/>
        <w:keepNext/>
      </w:pPr>
      <w:r>
        <w:rPr>
          <w:sz w:val="28"/>
          <w:rFonts w:ascii="Times New Roman" w:hAnsi="Times New Roman"/>
        </w:rPr>
        <w:t xml:space="preserve">Bilješka 16.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upravnih i administrativnih pristojbi, pristojbi po posebnim propisima i naknada (šifre 651+652+653+654)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209.750,31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348.330,53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166,1</w:t>
            </w:r>
          </w:p>
        </w:tc>
      </w:tr>
    </w:tbl>
    <w:p>
      <w:pPr>
        <w:spacing w:before="0" w:after="0"/>
      </w:pPr>
    </w:p>
    <w:p>
      <w:r>
        <w:t xml:space="preserve">Prihodi od upravnih i administrativnih pristojbi, pristojbi po posebnim propisima i naknada ostvareni su u iznosu od 348.330,53 eura, što predstavlja povećanje od 66,1 % u odnosu na isto razdoblje prethodne godine kada su iznosili 209.750,31 eura. Povećanje prihoda rezultat je većeg ostvarenja prihoda od naknada i pristojbi, osobito prihoda od komunalnih naknada, komunalnog doprinosa i drugih prihoda po posebnim propisima, sukladno dinamici obračuna i naplate.</w:t>
      </w:r>
    </w:p>
    <w:p/>
    <w:p>
      <w:pPr>
        <w:jc w:val="center"/>
        <w:pStyle w:val="Normal"/>
        <w:spacing w:line="240" w:lineRule="auto"/>
        <w:keepNext/>
      </w:pPr>
      <w:r>
        <w:rPr>
          <w:sz w:val="28"/>
          <w:rFonts w:ascii="Times New Roman" w:hAnsi="Times New Roman"/>
        </w:rPr>
        <w:t xml:space="preserve">Bilješka 17.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proizvoda i robe te pruženih usluga, prihodi od donacija te povrati po protestiranim jamstvima (šifre 661+663)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6.583,87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5.370,11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81,6</w:t>
            </w:r>
          </w:p>
        </w:tc>
      </w:tr>
    </w:tbl>
    <w:p>
      <w:pPr>
        <w:spacing w:before="0" w:after="0"/>
      </w:pPr>
    </w:p>
    <w:p>
      <w:r>
        <w:t xml:space="preserve">Prihodi od prodaje proizvoda i robe te pruženih usluga, prihodi od donacija i povrati po protestiranim jamstvima ostvareni su u iznosu od 5.370,11 eura, što predstavlja smanjenje od 18,4 % u odnosu na isto razdoblje prethodne godine kada su iznosili 6.583,87 eura. Smanjenje je rezultat manjeg ostvarenja prihoda po ovoj osnovi tijekom izvještajnog razdoblja, odnosno promijenjene dinamike ostvarivanja prihoda od pruženih usluga i ostalih prihoda obuhvaćenih ovom skupinom.</w:t>
      </w:r>
    </w:p>
    <w:p/>
    <w:p>
      <w:pPr>
        <w:jc w:val="center"/>
        <w:pStyle w:val="Normal"/>
        <w:spacing w:line="240" w:lineRule="auto"/>
        <w:keepNext/>
      </w:pPr>
      <w:r>
        <w:rPr>
          <w:sz w:val="28"/>
          <w:rFonts w:ascii="Times New Roman" w:hAnsi="Times New Roman"/>
        </w:rPr>
        <w:t xml:space="preserve">Bilješka 18.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992.858,39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1.397.813,76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140,8</w:t>
            </w:r>
          </w:p>
        </w:tc>
      </w:tr>
    </w:tbl>
    <w:p>
      <w:pPr>
        <w:spacing w:before="0" w:after="0"/>
      </w:pPr>
    </w:p>
    <w:p>
      <w:r>
        <w:t xml:space="preserve">Rashodi poslovanja ostvareni su u iznosu od 1.397.813,76 eura, što predstavlja povećanje od 40,8 % u odnosu na isto razdoblje prethodne godine kada su iznosili 992.858,39 eura. Povećanje rashoda poslovanja rezultat je većeg izvršenja rashoda za financiranje redovnih aktivnosti Općine i njezinih proračunskih korisnika, povećanja pojedinih materijalnih i financijskih rashoda te provedbe planiranih programa i aktivnosti tijekom izvještajnog razdoblja.</w:t>
      </w:r>
    </w:p>
    <w:p/>
    <w:p>
      <w:pPr>
        <w:jc w:val="center"/>
        <w:pStyle w:val="Normal"/>
        <w:spacing w:line="240" w:lineRule="auto"/>
        <w:keepNext/>
      </w:pPr>
      <w:r>
        <w:rPr>
          <w:sz w:val="28"/>
          <w:rFonts w:ascii="Times New Roman" w:hAnsi="Times New Roman"/>
        </w:rPr>
        <w:t xml:space="preserve">Bilješka 19.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3112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Plaće u naravi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864,50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1.111,50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128,6</w:t>
            </w:r>
          </w:p>
        </w:tc>
      </w:tr>
    </w:tbl>
    <w:p>
      <w:pPr>
        <w:spacing w:before="0" w:after="0"/>
      </w:pPr>
    </w:p>
    <w:p>
      <w:r>
        <w:t xml:space="preserve">Rashodi za plaće u naravi ostvareni su u iznosu od 1.111,50 eura, što predstavlja povećanje od 28,6 % u odnosu na isto razdoblje prethodne godine kada su iznosili 864,50 eura. Povećanje je rezultat većeg ostvarenja rashoda po osnovi primitaka u naravi zaposlenika, sukladno važećim propisima i obračunatim pravima zaposlenih.</w:t>
      </w:r>
    </w:p>
    <w:p/>
    <w:p>
      <w:pPr>
        <w:jc w:val="center"/>
        <w:pStyle w:val="Normal"/>
        <w:spacing w:line="240" w:lineRule="auto"/>
        <w:keepNext/>
      </w:pPr>
      <w:r>
        <w:rPr>
          <w:sz w:val="28"/>
          <w:rFonts w:ascii="Times New Roman" w:hAnsi="Times New Roman"/>
        </w:rPr>
        <w:t xml:space="preserve">Bilješka 20.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Materijalni rashodi (šifre 321+322+323+324+325+329)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319.467,80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445.719,30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139,5</w:t>
            </w:r>
          </w:p>
        </w:tc>
      </w:tr>
    </w:tbl>
    <w:p>
      <w:pPr>
        <w:spacing w:before="0" w:after="0"/>
      </w:pPr>
    </w:p>
    <w:p>
      <w:r>
        <w:t xml:space="preserve">Materijalni rashodi ostvareni su u iznosu od 445.719,30 eura, što predstavlja povećanje od 39,5 % u odnosu na isto razdoblje prethodne godine kada su iznosili 319.467,80 eura. Povećanje materijalnih rashoda rezultat je većeg izvršenja rashoda za nabavu materijala i energije, usluge, naknade troškova zaposlenima te ostale nespomenute materijalne rashode, sukladno provedenim aktivnostima i potrebama Općine i njezinih proračunskih korisnika.</w:t>
      </w:r>
    </w:p>
    <w:p/>
    <w:p>
      <w:pPr>
        <w:jc w:val="center"/>
        <w:pStyle w:val="Normal"/>
        <w:spacing w:line="240" w:lineRule="auto"/>
        <w:keepNext/>
      </w:pPr>
      <w:r>
        <w:rPr>
          <w:sz w:val="28"/>
          <w:rFonts w:ascii="Times New Roman" w:hAnsi="Times New Roman"/>
        </w:rPr>
        <w:t xml:space="preserve">Bilješka 21.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Službena putovanja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156,00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1.876,20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1202,7</w:t>
            </w:r>
          </w:p>
        </w:tc>
      </w:tr>
    </w:tbl>
    <w:p>
      <w:pPr>
        <w:spacing w:before="0" w:after="0"/>
      </w:pPr>
    </w:p>
    <w:p>
      <w:r>
        <w:t xml:space="preserve">Rashodi za službena putovanja ostvareni su u iznosu od 1.876,20 eura, što predstavlja povećanje u odnosu na isto razdoblje prethodne godine kada su iznosili 156,00 eura. Povećanje rashoda rezultat je većeg broja službenih putovanja, sudjelovanja zaposlenika i predstavnika Općine na sastancima, edukacijama, radionicama i drugim službenim aktivnostima tijekom izvještajnog razdoblja.</w:t>
      </w:r>
    </w:p>
    <w:p/>
    <w:p>
      <w:pPr>
        <w:jc w:val="center"/>
        <w:pStyle w:val="Normal"/>
        <w:spacing w:line="240" w:lineRule="auto"/>
        <w:keepNext/>
      </w:pPr>
      <w:r>
        <w:rPr>
          <w:sz w:val="28"/>
          <w:rFonts w:ascii="Times New Roman" w:hAnsi="Times New Roman"/>
        </w:rPr>
        <w:t xml:space="preserve">Bilješka 22.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Materijal i sirovine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68,61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1.890,77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2755,8</w:t>
            </w:r>
          </w:p>
        </w:tc>
      </w:tr>
    </w:tbl>
    <w:p>
      <w:pPr>
        <w:spacing w:before="0" w:after="0"/>
      </w:pPr>
    </w:p>
    <w:p>
      <w:r>
        <w:t xml:space="preserve">Rashodi za materijal i sirovine ostvareni su u iznosu od 1.890,77 eura, što predstavlja značajno povećanje u odnosu na isto razdoblje prethodne godine kada su iznosili 68,61 eura. Povećanje je rezultat većih potreba za nabavom materijala i sirovina za redovno poslovanje i provedbu planiranih aktivnosti tijekom izvještajnog razdoblja.</w:t>
      </w:r>
    </w:p>
    <w:p/>
    <w:p>
      <w:pPr>
        <w:jc w:val="center"/>
        <w:pStyle w:val="Normal"/>
        <w:spacing w:line="240" w:lineRule="auto"/>
        <w:keepNext/>
      </w:pPr>
      <w:r>
        <w:rPr>
          <w:sz w:val="28"/>
          <w:rFonts w:ascii="Times New Roman" w:hAnsi="Times New Roman"/>
        </w:rPr>
        <w:t xml:space="preserve">Bilješka 23.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usluge (šifre 3231 do 3239)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219.424,79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338.041,23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154,1</w:t>
            </w:r>
          </w:p>
        </w:tc>
      </w:tr>
    </w:tbl>
    <w:p>
      <w:pPr>
        <w:spacing w:before="0" w:after="0"/>
      </w:pPr>
    </w:p>
    <w:p>
      <w:r>
        <w:t xml:space="preserve">Rashodi za usluge ostvareni su u iznosu od 338.041,23 eura, što predstavlja povećanje od 54,0 % u odnosu na isto razdoblje prethodne godine kada su iznosili 219.424,79 eura. Povećanje rashoda rezultat je većeg izvršenja rashoda za različite vrste usluga potrebnih za redovno funkcioniranje Općine i provedbu planiranih programa i aktivnosti, osobito usluga održavanja, komunalnih usluga, intelektualnih i osobnih usluga te ostalih usluga.</w:t>
      </w:r>
    </w:p>
    <w:p/>
    <w:p>
      <w:pPr>
        <w:jc w:val="center"/>
        <w:pStyle w:val="Normal"/>
        <w:spacing w:line="240" w:lineRule="auto"/>
        <w:keepNext/>
      </w:pPr>
      <w:r>
        <w:rPr>
          <w:sz w:val="28"/>
          <w:rFonts w:ascii="Times New Roman" w:hAnsi="Times New Roman"/>
        </w:rPr>
        <w:t xml:space="preserve">Bilješka 24.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Usluge promidžbe i informiranja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5.457,80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8.796,35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161,2</w:t>
            </w:r>
          </w:p>
        </w:tc>
      </w:tr>
    </w:tbl>
    <w:p>
      <w:pPr>
        <w:spacing w:before="0" w:after="0"/>
      </w:pPr>
    </w:p>
    <w:p>
      <w:r>
        <w:t xml:space="preserve">Rashodi za usluge promidžbe i informiranja ostvareni su u iznosu od 8.796,35 eura, što predstavlja povećanje od 61,2 % u odnosu na isto razdoblje prethodne godine kada su iznosili 5.457,80 eura. Povećanje je rezultat većeg obujma aktivnosti na području informiranja javnosti, promocije projekata i programa Općine te objave službenih i drugih informativnih sadržaja.</w:t>
      </w:r>
    </w:p>
    <w:p/>
    <w:p>
      <w:pPr>
        <w:jc w:val="center"/>
        <w:pStyle w:val="Normal"/>
        <w:spacing w:line="240" w:lineRule="auto"/>
        <w:keepNext/>
      </w:pPr>
      <w:r>
        <w:rPr>
          <w:sz w:val="28"/>
          <w:rFonts w:ascii="Times New Roman" w:hAnsi="Times New Roman"/>
        </w:rPr>
        <w:t xml:space="preserve">Bilješka 25.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Komunalne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13.684,49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94.050,99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687,3</w:t>
            </w:r>
          </w:p>
        </w:tc>
      </w:tr>
    </w:tbl>
    <w:p>
      <w:pPr>
        <w:spacing w:before="0" w:after="0"/>
      </w:pPr>
    </w:p>
    <w:p>
      <w:r>
        <w:t xml:space="preserve">Rashodi za komunalne usluge ostvareni su u iznosu od 94.050,99 eura, što predstavlja povećanje od 687,5 % u odnosu na isto razdoblje prethodne godine kada su iznosili 13.684,49 eura. Značajno povećanje rashoda rezultat je većeg obujma izvršenih komunalnih aktivnosti, održavanja komunalne infrastrukture i drugih usluga od interesa za funkcioniranje Općine tijekom izvještajnog razdoblja.</w:t>
      </w:r>
    </w:p>
    <w:p/>
    <w:p>
      <w:pPr>
        <w:jc w:val="center"/>
        <w:pStyle w:val="Normal"/>
        <w:spacing w:line="240" w:lineRule="auto"/>
        <w:keepNext/>
      </w:pPr>
      <w:r>
        <w:rPr>
          <w:sz w:val="28"/>
          <w:rFonts w:ascii="Times New Roman" w:hAnsi="Times New Roman"/>
        </w:rPr>
        <w:t xml:space="preserve">Bilješka 26.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Zdravstvene i veterinarske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13.960,90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6.411,40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45,9</w:t>
            </w:r>
          </w:p>
        </w:tc>
      </w:tr>
    </w:tbl>
    <w:p>
      <w:pPr>
        <w:spacing w:before="0" w:after="0"/>
      </w:pPr>
    </w:p>
    <w:p>
      <w:r>
        <w:t xml:space="preserve">Rashodi za zdravstvene i veterinarske usluge ostvareni su u iznosu od 6.411,40 eura, što predstavlja smanjenje od 54,1 % u odnosu na isto razdoblje prethodne godine kada su iznosili 13.960,90 eura. Smanjenje rashoda rezultat je manjeg obujma izvršenih zdravstvenih i veterinarskih usluga u odnosu na prethodno razdoblje, odnosno promijenjene dinamike realizacije aktivnosti i ugovorenih usluga.</w:t>
      </w:r>
    </w:p>
    <w:p/>
    <w:p>
      <w:pPr>
        <w:jc w:val="center"/>
        <w:pStyle w:val="Normal"/>
        <w:spacing w:line="240" w:lineRule="auto"/>
        <w:keepNext/>
      </w:pPr>
      <w:r>
        <w:rPr>
          <w:sz w:val="28"/>
          <w:rFonts w:ascii="Times New Roman" w:hAnsi="Times New Roman"/>
        </w:rPr>
        <w:t xml:space="preserve">Bilješka 27.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Intelektualne i osobne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48.705,13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68.391,99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140,4</w:t>
            </w:r>
          </w:p>
        </w:tc>
      </w:tr>
    </w:tbl>
    <w:p>
      <w:pPr>
        <w:spacing w:before="0" w:after="0"/>
      </w:pPr>
    </w:p>
    <w:p>
      <w:r>
        <w:t xml:space="preserve">Rashodi za intelektualne i osobne usluge ostvareni su u iznosu od 68.391,99 eura, što predstavlja povećanje od 40,4 % u odnosu na isto razdoblje prethodne godine kada su iznosili 48.705,13 eura. Povećanje rashoda rezultat je većeg obujma angažiranih stručnih i drugih usluga potrebnih za provedbu aktivnosti i programa Općine, uključujući usluge vezane uz pripremu, provedbu i praćenje projekata te druge stručne poslove.</w:t>
      </w:r>
    </w:p>
    <w:p/>
    <w:p>
      <w:pPr>
        <w:jc w:val="center"/>
        <w:pStyle w:val="Normal"/>
        <w:spacing w:line="240" w:lineRule="auto"/>
        <w:keepNext/>
      </w:pPr>
      <w:r>
        <w:rPr>
          <w:sz w:val="28"/>
          <w:rFonts w:ascii="Times New Roman" w:hAnsi="Times New Roman"/>
        </w:rPr>
        <w:t xml:space="preserve">Bilješka 28.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12.214,14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22.601,17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185,0</w:t>
            </w:r>
          </w:p>
        </w:tc>
      </w:tr>
    </w:tbl>
    <w:p>
      <w:pPr>
        <w:spacing w:before="0" w:after="0"/>
      </w:pPr>
    </w:p>
    <w:p>
      <w:r>
        <w:t xml:space="preserve">Rashodi za ostale usluge ostvareni su u iznosu od 22.601,17 eura, što predstavlja povećanje od 85,0 % u odnosu na isto razdoblje prethodne godine kada su iznosili 12.214,14 eura. Povećanje je rezultat većeg obujma izvršenih ostalih usluga potrebnih za redovno poslovanje i provedbu aktivnosti Općine, sukladno iskazanim potrebama i preuzetim obvezama tijekom izvještajnog razdoblja.</w:t>
      </w:r>
    </w:p>
    <w:p/>
    <w:p>
      <w:pPr>
        <w:jc w:val="center"/>
        <w:pStyle w:val="Normal"/>
        <w:spacing w:line="240" w:lineRule="auto"/>
        <w:keepNext/>
      </w:pPr>
      <w:r>
        <w:rPr>
          <w:sz w:val="28"/>
          <w:rFonts w:ascii="Times New Roman" w:hAnsi="Times New Roman"/>
        </w:rPr>
        <w:t xml:space="preserve">Bilješka 29.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Reprezentacija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8.948,00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3.043,66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34,0</w:t>
            </w:r>
          </w:p>
        </w:tc>
      </w:tr>
    </w:tbl>
    <w:p>
      <w:pPr>
        <w:spacing w:before="0" w:after="0"/>
      </w:pPr>
    </w:p>
    <w:p>
      <w:r>
        <w:t xml:space="preserve">Rashodi za reprezentaciju ostvareni su u iznosu od 3.043,66 eura, što predstavlja smanjenje od 66,0 % u odnosu na isto razdoblje prethodne godine kada su iznosili 8.948,00 eura. Smanjenje rashoda rezultat je manjeg obujma aktivnosti i događanja kod kojih su nastali troškovi reprezentacije te racionalnijeg planiranja i korištenja sredstava za navedenu namjenu.</w:t>
      </w:r>
    </w:p>
    <w:p/>
    <w:p>
      <w:pPr>
        <w:jc w:val="center"/>
        <w:pStyle w:val="Normal"/>
        <w:spacing w:line="240" w:lineRule="auto"/>
        <w:keepNext/>
      </w:pPr>
      <w:r>
        <w:rPr>
          <w:sz w:val="28"/>
          <w:rFonts w:ascii="Times New Roman" w:hAnsi="Times New Roman"/>
        </w:rPr>
        <w:t xml:space="preserve">Bilješka 30.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Članarine i norme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713,62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12.011,62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1683,2</w:t>
            </w:r>
          </w:p>
        </w:tc>
      </w:tr>
    </w:tbl>
    <w:p>
      <w:pPr>
        <w:spacing w:before="0" w:after="0"/>
      </w:pPr>
    </w:p>
    <w:p>
      <w:r>
        <w:t xml:space="preserve">Rashodi za članarine i norme ostvareni su u iznosu od 12.011,62 eura, što predstavlja značajno povećanje u odnosu na isto razdoblje prethodne godine kada su iznosili 713,62 eura. Povećanje rashoda najvećim se dijelom odnosi na izvršenje obveza po osnovi članarina prema organizacijama u kojima je Općina članica, osobito prema Lokalnoj akcijskoj grupi Petrova Gora, sukladno preuzetim obvezama i provedenim aktivnostima u izvještajnom razdoblju.</w:t>
      </w:r>
    </w:p>
    <w:p/>
    <w:p>
      <w:pPr>
        <w:jc w:val="center"/>
        <w:pStyle w:val="Normal"/>
        <w:spacing w:line="240" w:lineRule="auto"/>
        <w:keepNext/>
      </w:pPr>
      <w:r>
        <w:rPr>
          <w:sz w:val="28"/>
          <w:rFonts w:ascii="Times New Roman" w:hAnsi="Times New Roman"/>
        </w:rPr>
        <w:t xml:space="preserve">Bilješka 31.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Pristojbe i naknade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415,63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554,43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133,4</w:t>
            </w:r>
          </w:p>
        </w:tc>
      </w:tr>
    </w:tbl>
    <w:p>
      <w:pPr>
        <w:spacing w:before="0" w:after="0"/>
      </w:pPr>
    </w:p>
    <w:p>
      <w:r>
        <w:t xml:space="preserve">Rashodi za pristojbe i naknade ostvareni su u iznosu od 554,43 eura, što predstavlja povećanje od 33,4 % u odnosu na isto razdoblje prethodne godine kada su iznosili 415,63 eura. Povećanje rashoda rezultat je većeg izvršenja troškova po osnovi različitih pristojbi, naknada i drugih davanja povezanih s redovnim poslovanjem Općine.</w:t>
      </w:r>
    </w:p>
    <w:p/>
    <w:p>
      <w:pPr>
        <w:jc w:val="center"/>
        <w:pStyle w:val="Normal"/>
        <w:spacing w:line="240" w:lineRule="auto"/>
        <w:keepNext/>
      </w:pPr>
      <w:r>
        <w:rPr>
          <w:sz w:val="28"/>
          <w:rFonts w:ascii="Times New Roman" w:hAnsi="Times New Roman"/>
        </w:rPr>
        <w:t xml:space="preserve">Bilješka 32.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nespomenuti rashodi poslovanja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1.865,74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731,53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39,2</w:t>
            </w:r>
          </w:p>
        </w:tc>
      </w:tr>
    </w:tbl>
    <w:p>
      <w:pPr>
        <w:spacing w:before="0" w:after="0"/>
      </w:pPr>
    </w:p>
    <w:p>
      <w:r>
        <w:t xml:space="preserve">Ostali nespomenuti rashodi poslovanja ostvareni su u iznosu od 731,53 eura, što predstavlja smanjenje od 60,8 % u odnosu na isto razdoblje prethodne godine kada su iznosili 1.865,74 eura. Smanjenje rashoda rezultat je manjeg ostvarenja ostalih nespomenutih troškova poslovanja i racionalnijeg planiranja rashoda u izvještajnom razdoblju.</w:t>
      </w:r>
    </w:p>
    <w:p/>
    <w:p>
      <w:pPr>
        <w:jc w:val="center"/>
        <w:pStyle w:val="Normal"/>
        <w:spacing w:line="240" w:lineRule="auto"/>
        <w:keepNext/>
      </w:pPr>
      <w:r>
        <w:rPr>
          <w:sz w:val="28"/>
          <w:rFonts w:ascii="Times New Roman" w:hAnsi="Times New Roman"/>
        </w:rPr>
        <w:t xml:space="preserve">Bilješka 33.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Financijski rashodi (šifre 341+342+343)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2.177,14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4.415,40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202,8</w:t>
            </w:r>
          </w:p>
        </w:tc>
      </w:tr>
    </w:tbl>
    <w:p>
      <w:pPr>
        <w:spacing w:before="0" w:after="0"/>
      </w:pPr>
    </w:p>
    <w:p>
      <w:r>
        <w:t xml:space="preserve">Financijski rashodi ostvareni su u iznosu od 4.415,40 eura, što predstavlja povećanje od 102,8 % u odnosu na isto razdoblje prethodne godine kada su iznosili 2.177,14 eura. Povećanje financijskih rashoda rezultat je većeg ostvarenja rashoda po osnovi kamata, bankarskih usluga i naknada te ostalih financijskih rashoda tijekom izvještajnog razdoblja.</w:t>
      </w:r>
    </w:p>
    <w:p/>
    <w:p>
      <w:pPr>
        <w:jc w:val="center"/>
        <w:pStyle w:val="Normal"/>
        <w:spacing w:line="240" w:lineRule="auto"/>
        <w:keepNext/>
      </w:pPr>
      <w:r>
        <w:rPr>
          <w:sz w:val="28"/>
          <w:rFonts w:ascii="Times New Roman" w:hAnsi="Times New Roman"/>
        </w:rPr>
        <w:t xml:space="preserve">Bilješka 34.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3433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Zatezne kamate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3433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10,54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164,04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1556,4</w:t>
            </w:r>
          </w:p>
        </w:tc>
      </w:tr>
    </w:tbl>
    <w:p>
      <w:pPr>
        <w:spacing w:before="0" w:after="0"/>
      </w:pPr>
    </w:p>
    <w:p>
      <w:r>
        <w:t xml:space="preserve">Rashodi za zatezne kamate ostvareni su u iznosu od 164,04 eura, što predstavlja povećanje u odnosu na isto razdoblje prethodne godine kada su iznosili 10,54 eura. Povećanje rashoda odnosi se na veće ostvarenje obveza po osnovi zateznih kamata u izvještajnom razdoblju.</w:t>
      </w:r>
    </w:p>
    <w:p/>
    <w:p>
      <w:pPr>
        <w:jc w:val="center"/>
        <w:pStyle w:val="Normal"/>
        <w:spacing w:line="240" w:lineRule="auto"/>
        <w:keepNext/>
      </w:pPr>
      <w:r>
        <w:rPr>
          <w:sz w:val="28"/>
          <w:rFonts w:ascii="Times New Roman" w:hAnsi="Times New Roman"/>
        </w:rPr>
        <w:t xml:space="preserve">Bilješka 35.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3434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nespomenuti financijski rashodi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148,81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2.471,44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1660,8</w:t>
            </w:r>
          </w:p>
        </w:tc>
      </w:tr>
    </w:tbl>
    <w:p>
      <w:pPr>
        <w:spacing w:before="0" w:after="0"/>
      </w:pPr>
    </w:p>
    <w:p>
      <w:r>
        <w:t xml:space="preserve">Ostali nespomenuti financijski rashodi ostvareni su u iznosu od 2.471,44 eura, što predstavlja povećanje u odnosu na isto razdoblje prethodne godine kada su iznosili 148,81 eura. Povećanje rashoda rezultat je većeg izvršenja ostalih financijskih troškova tijekom izvještajnog razdoblja.</w:t>
      </w:r>
    </w:p>
    <w:p/>
    <w:p>
      <w:pPr>
        <w:jc w:val="center"/>
        <w:pStyle w:val="Normal"/>
        <w:spacing w:line="240" w:lineRule="auto"/>
        <w:keepNext/>
      </w:pPr>
      <w:r>
        <w:rPr>
          <w:sz w:val="28"/>
          <w:rFonts w:ascii="Times New Roman" w:hAnsi="Times New Roman"/>
        </w:rPr>
        <w:t xml:space="preserve">Bilješka 36.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Subvencije (šifre 351+352+353)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1.617,00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721,11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44,6</w:t>
            </w:r>
          </w:p>
        </w:tc>
      </w:tr>
    </w:tbl>
    <w:p>
      <w:pPr>
        <w:spacing w:before="0" w:after="0"/>
      </w:pPr>
    </w:p>
    <w:p>
      <w:r>
        <w:t xml:space="preserve">Rashodi za subvencije ostvareni su u iznosu od 721,11 eura, što predstavlja smanjenje od 55,4 % u odnosu na isto razdoblje prethodne godine kada su iznosili 1.617,00 eura. Smanjenje rashoda rezultat je manjeg izvršenja subvencija u odnosu na prethodno razdoblje, odnosno dinamike provedbe planiranih programa i mjera kojima se subvencije dodjeljuju.</w:t>
      </w:r>
    </w:p>
    <w:p/>
    <w:p>
      <w:pPr>
        <w:jc w:val="center"/>
        <w:pStyle w:val="Normal"/>
        <w:spacing w:line="240" w:lineRule="auto"/>
        <w:keepNext/>
      </w:pPr>
      <w:r>
        <w:rPr>
          <w:sz w:val="28"/>
          <w:rFonts w:ascii="Times New Roman" w:hAnsi="Times New Roman"/>
        </w:rPr>
        <w:t xml:space="preserve">Bilješka 37.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građanima i kućanstvima na temelju osiguranja i druge naknade (šifre 371+372)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39.819,08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33.902,69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85,1</w:t>
            </w:r>
          </w:p>
        </w:tc>
      </w:tr>
    </w:tbl>
    <w:p>
      <w:pPr>
        <w:spacing w:before="0" w:after="0"/>
      </w:pPr>
    </w:p>
    <w:p>
      <w:r>
        <w:t xml:space="preserve">Rashodi za naknade građanima i kućanstvima ostvareni su u iznosu od 33.902,69 eura, što predstavlja smanjenje od 14,9 % u odnosu na isto razdoblje prethodne godine kada su iznosili 39.819,08 eura. Smanjenje rashoda rezultat je manjeg izvršenja pojedinih oblika naknada građanima i kućanstvima, odnosno dinamike realizacije socijalnih programa i drugih mjera potpore tijekom izvještajnog razdoblja.</w:t>
      </w:r>
    </w:p>
    <w:p/>
    <w:p>
      <w:pPr>
        <w:jc w:val="center"/>
        <w:pStyle w:val="Normal"/>
        <w:spacing w:line="240" w:lineRule="auto"/>
        <w:keepNext/>
      </w:pPr>
      <w:r>
        <w:rPr>
          <w:sz w:val="28"/>
          <w:rFonts w:ascii="Times New Roman" w:hAnsi="Times New Roman"/>
        </w:rPr>
        <w:t xml:space="preserve">Bilješka 38.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donacije, kazne, naknade šteta i kapitalne pomoći (šifre 381+382+383+386)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303.905,42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326.896,13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107,6</w:t>
            </w:r>
          </w:p>
        </w:tc>
      </w:tr>
    </w:tbl>
    <w:p>
      <w:pPr>
        <w:spacing w:before="0" w:after="0"/>
      </w:pPr>
    </w:p>
    <w:p>
      <w:r>
        <w:t xml:space="preserve">Rashodi za donacije, kazne, naknade šteta i kapitalne pomoći ostvareni su u iznosu od 326.896,13 eura, što predstavlja povećanje od 7,6 % u odnosu na isto razdoblje prethodne godine kada su iznosili 303.905,42 eura. Povećanje rashoda rezultat je većeg izvršenja rashoda za donacije i kapitalne pomoći te realizacije planiranih programa i aktivnosti Općine tijekom izvještajnog razdoblja.</w:t>
      </w:r>
    </w:p>
    <w:p/>
    <w:p>
      <w:pPr>
        <w:jc w:val="center"/>
        <w:pStyle w:val="Normal"/>
        <w:spacing w:line="240" w:lineRule="auto"/>
        <w:keepNext/>
      </w:pPr>
      <w:r>
        <w:rPr>
          <w:sz w:val="28"/>
          <w:rFonts w:ascii="Times New Roman" w:hAnsi="Times New Roman"/>
        </w:rPr>
        <w:t xml:space="preserve">Bilješka 39.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Ukupni rashodi poslovanja (šifre 3-Z003+Z004)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Z005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992.858,39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1.397.813,76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140,8</w:t>
            </w:r>
          </w:p>
        </w:tc>
      </w:tr>
    </w:tbl>
    <w:p>
      <w:pPr>
        <w:spacing w:before="0" w:after="0"/>
      </w:pPr>
    </w:p>
    <w:p>
      <w:r>
        <w:t xml:space="preserve">Ukupni rashodi poslovanja ostvareni su u iznosu od 1.397.813,76 eura, što predstavlja povećanje od 40,8 % u odnosu na isto razdoblje prethodne godine kada su iznosili 992.858,39 eura. Povećanje ukupnih rashoda poslovanja rezultat je većeg obujma realiziranih aktivnosti i programa Općine i njezinih proračunskih korisnika, povećanja pojedinih kategorija materijalnih rashoda, rashoda za usluge te ostalih rashoda poslovanja.</w:t>
      </w:r>
    </w:p>
    <w:p/>
    <w:p>
      <w:pPr>
        <w:jc w:val="center"/>
        <w:pStyle w:val="Normal"/>
        <w:spacing w:line="240" w:lineRule="auto"/>
        <w:keepNext/>
      </w:pPr>
      <w:r>
        <w:rPr>
          <w:sz w:val="28"/>
          <w:rFonts w:ascii="Times New Roman" w:hAnsi="Times New Roman"/>
        </w:rPr>
        <w:t xml:space="preserve">Bilješka 40.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VIŠAK PRIHODA POSLOVANJA (šifre 6-Z005)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X001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277.960,80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434.222,45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156,2</w:t>
            </w:r>
          </w:p>
        </w:tc>
      </w:tr>
    </w:tbl>
    <w:p>
      <w:pPr>
        <w:spacing w:before="0" w:after="0"/>
      </w:pPr>
    </w:p>
    <w:p>
      <w:r>
        <w:t xml:space="preserve">Višak prihoda poslovanja ostvaren je u iznosu od 434.222,45 eura, što predstavlja povećanje od 56,2 % u odnosu na isto razdoblje prethodne godine kada je iznosio 277.960,80 eura. Povećanje viška prihoda poslovanja rezultat je povoljnijeg odnosa ostvarenih prihoda poslovanja i izvršenih rashoda poslovanja tijekom izvještajnog razdoblja.</w:t>
      </w:r>
    </w:p>
    <w:p/>
    <w:p>
      <w:pPr>
        <w:jc w:val="center"/>
        <w:pStyle w:val="Normal"/>
        <w:spacing w:line="240" w:lineRule="auto"/>
        <w:keepNext/>
      </w:pPr>
      <w:r>
        <w:rPr>
          <w:sz w:val="28"/>
          <w:rFonts w:ascii="Times New Roman" w:hAnsi="Times New Roman"/>
        </w:rPr>
        <w:t xml:space="preserve">Bilješka 41.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92211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Višak prihoda poslovanja - preneseni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92211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147.727,99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91.005,28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61,6</w:t>
            </w:r>
          </w:p>
        </w:tc>
      </w:tr>
    </w:tbl>
    <w:p>
      <w:pPr>
        <w:spacing w:before="0" w:after="0"/>
      </w:pPr>
    </w:p>
    <w:p>
      <w:r>
        <w:t xml:space="preserve">Preneseni višak prihoda poslovanja iskazan je u iznosu od 91.005,28 eura, što predstavlja smanjenje od 38,4 % u odnosu na prethodnu godinu kada je iznosio 147.727,99 eura. Smanjenje prenesenog viška prihoda rezultat je korištenja dijela prenesenih sredstava iz prethodnih razdoblja za financiranje planiranih aktivnosti i rashoda u izvještajnom razd</w:t>
      </w:r>
    </w:p>
    <w:p/>
    <w:p>
      <w:pPr>
        <w:jc w:val="center"/>
        <w:pStyle w:val="Normal"/>
        <w:spacing w:line="240" w:lineRule="auto"/>
        <w:keepNext/>
      </w:pPr>
      <w:r>
        <w:rPr>
          <w:sz w:val="28"/>
          <w:rFonts w:ascii="Times New Roman" w:hAnsi="Times New Roman"/>
        </w:rPr>
        <w:t xml:space="preserve">Bilješka 42.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9661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proizvoda i robe i pruženih usluga - nenaplaćeni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9661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3.981,17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89,08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2,2</w:t>
            </w:r>
          </w:p>
        </w:tc>
      </w:tr>
    </w:tbl>
    <w:p>
      <w:pPr>
        <w:spacing w:before="0" w:after="0"/>
      </w:pPr>
    </w:p>
    <w:p>
      <w:r>
        <w:t xml:space="preserve">Prihodi od prodaje proizvoda i robe i pruženih usluga – nenaplaćeni iskazani su u iznosu od 89,08 eura, što predstavlja smanjenje od 97,8 % u odnosu na prethodnu godinu kada su iznosili 3.981,17 eura. Značajno smanjenje nenaplaćenih prihoda rezultat je poboljšanja naplate potraživanja i smanjenja iznosa dospjelih, a nenaplaćenih potraživanja po osnovi prodanih proizvoda, robe i pruženih usluga.</w:t>
      </w:r>
    </w:p>
    <w:p/>
    <w:p>
      <w:pPr>
        <w:jc w:val="center"/>
        <w:pStyle w:val="Normal"/>
        <w:spacing w:line="240" w:lineRule="auto"/>
        <w:keepNext/>
      </w:pPr>
      <w:r>
        <w:rPr>
          <w:sz w:val="28"/>
          <w:rFonts w:ascii="Times New Roman" w:hAnsi="Times New Roman"/>
        </w:rPr>
        <w:t xml:space="preserve">Bilješka 43.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nefinancijske imovine (šifre 71+72+73+74)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1.219,53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1.016,46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83,3</w:t>
            </w:r>
          </w:p>
        </w:tc>
      </w:tr>
    </w:tbl>
    <w:p>
      <w:pPr>
        <w:spacing w:before="0" w:after="0"/>
      </w:pPr>
    </w:p>
    <w:p>
      <w:r>
        <w:t xml:space="preserve">Prihodi od prodaje nefinancijske imovine ostvareni su u iznosu od 1.016,46 eura, što predstavlja smanjenje od 16,7 % u odnosu na isto razdoblje prethodne godine kada su iznosili 1.219,53 eura. Smanjenje prihoda rezultat je manjeg ostvarenja prihoda od prodaje nefinancijske imovine tijekom izvještajnog razdoblja, odnosno dinamike realizacije prodaje imovine planirane proračunom.</w:t>
      </w:r>
    </w:p>
    <w:p/>
    <w:p>
      <w:pPr>
        <w:jc w:val="center"/>
        <w:pStyle w:val="Normal"/>
        <w:spacing w:line="240" w:lineRule="auto"/>
        <w:keepNext/>
      </w:pPr>
      <w:r>
        <w:rPr>
          <w:sz w:val="28"/>
          <w:rFonts w:ascii="Times New Roman" w:hAnsi="Times New Roman"/>
        </w:rPr>
        <w:t xml:space="preserve">Bilješka 44.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245.050,78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20.840,63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8,5</w:t>
            </w:r>
          </w:p>
        </w:tc>
      </w:tr>
    </w:tbl>
    <w:p>
      <w:pPr>
        <w:spacing w:before="0" w:after="0"/>
      </w:pPr>
    </w:p>
    <w:p>
      <w:r>
        <w:t xml:space="preserve">Rashodi za nabavu nefinancijske imovine ostvareni su u iznosu od 20.840,63 eura, što predstavlja smanjenje od 91,5 % u odnosu na isto razdoblje prethodne godine kada su iznosili 245.050,78 eura. Smanjenje rashoda rezultat je manjeg izvršenja kapitalnih ulaganja u odnosu na prethodno razdoblje, odnosno različite dinamike realizacije planiranih investicija i projekata.</w:t>
      </w:r>
    </w:p>
    <w:p/>
    <w:p>
      <w:pPr>
        <w:jc w:val="center"/>
        <w:pStyle w:val="Normal"/>
        <w:spacing w:line="240" w:lineRule="auto"/>
        <w:keepNext/>
      </w:pPr>
      <w:r>
        <w:rPr>
          <w:sz w:val="28"/>
          <w:rFonts w:ascii="Times New Roman" w:hAnsi="Times New Roman"/>
        </w:rPr>
        <w:t xml:space="preserve">Bilješka 45.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Građevinski objekti (šifre 4211 do 4214)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164.586,78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6.802,45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4,1</w:t>
            </w:r>
          </w:p>
        </w:tc>
      </w:tr>
    </w:tbl>
    <w:p>
      <w:pPr>
        <w:spacing w:before="0" w:after="0"/>
      </w:pPr>
    </w:p>
    <w:p>
      <w:r>
        <w:t xml:space="preserve">Rashodi za nabavu građevinskih objekata ostvareni su u iznosu od 6.802,45 eura, što predstavlja smanjenje od 95,9 % u odnosu na isto razdoblje prethodne godine kada su iznosili 164.586,78 eura. Smanjenje rashoda rezultat je manjeg izvršenja kapitalnih ulaganja u građevinske objekte u odnosu na prethodno razdoblje, odnosno različite dinamike realizacije planiranih investicija i projekata.</w:t>
      </w:r>
    </w:p>
    <w:p>
      <w:r>
        <w:t xml:space="preserve"> </w:t>
      </w:r>
    </w:p>
    <w:p/>
    <w:p>
      <w:pPr>
        <w:jc w:val="center"/>
        <w:pStyle w:val="Normal"/>
        <w:spacing w:line="240" w:lineRule="auto"/>
        <w:keepNext/>
      </w:pPr>
      <w:r>
        <w:rPr>
          <w:sz w:val="28"/>
          <w:rFonts w:ascii="Times New Roman" w:hAnsi="Times New Roman"/>
        </w:rPr>
        <w:t xml:space="preserve">Bilješka 46.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Uređaji, strojevi i oprema za ostale namjene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650,88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3.388,18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520,6</w:t>
            </w:r>
          </w:p>
        </w:tc>
      </w:tr>
    </w:tbl>
    <w:p>
      <w:pPr>
        <w:spacing w:before="0" w:after="0"/>
      </w:pPr>
    </w:p>
    <w:p>
      <w:r>
        <w:t xml:space="preserve">Rashodi za nabavu uređaja, strojeva i opreme za ostale namjene ostvareni su u iznosu od 3.388,18 eura, što predstavlja povećanje od 420,5 % u odnosu na isto razdoblje prethodne godine kada su iznosili 650,88 eura. Povećanje rashoda rezultat je veće realizacije nabave opreme za potrebe redovnog poslovanja i provedbe planiranih aktivnosti Općine i njezinih proračunskih korisnika.</w:t>
      </w:r>
    </w:p>
    <w:p/>
    <w:p>
      <w:pPr>
        <w:jc w:val="center"/>
        <w:pStyle w:val="Normal"/>
        <w:spacing w:line="240" w:lineRule="auto"/>
        <w:keepNext/>
      </w:pPr>
      <w:r>
        <w:rPr>
          <w:sz w:val="28"/>
          <w:rFonts w:ascii="Times New Roman" w:hAnsi="Times New Roman"/>
        </w:rPr>
        <w:t xml:space="preserve">Bilješka 47.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dodatna ulaganja na nefinancijskoj imovini (šifre 451 do 454)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18.500,62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10.650,00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57,6</w:t>
            </w:r>
          </w:p>
        </w:tc>
      </w:tr>
    </w:tbl>
    <w:p>
      <w:pPr>
        <w:spacing w:before="0" w:after="0"/>
      </w:pPr>
    </w:p>
    <w:p>
      <w:r>
        <w:t xml:space="preserve">Rashodi za dodatna ulaganja na nefinancijskoj imovini ostvareni su u iznosu od 10.650,00 eura, što predstavlja smanjenje od 42,4 % u odnosu na isto razdoblje prethodne godine kada su iznosili 18.500,62 eura. Smanjenje rashoda rezultat je manjeg opsega izvedenih dodatnih ulaganja i ulaganja u obnovu, rekonstrukciju i poboljšanje postojeće nefinancijske imovine u odnosu na prethodno razdoblje.</w:t>
      </w:r>
    </w:p>
    <w:p/>
    <w:p>
      <w:pPr>
        <w:jc w:val="center"/>
        <w:pStyle w:val="Normal"/>
        <w:spacing w:line="240" w:lineRule="auto"/>
        <w:keepNext/>
      </w:pPr>
      <w:r>
        <w:rPr>
          <w:sz w:val="28"/>
          <w:rFonts w:ascii="Times New Roman" w:hAnsi="Times New Roman"/>
        </w:rPr>
        <w:t xml:space="preserve">Bilješka 48.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MANJAK PRIHODA OD NEFINANCIJSKE IMOVINE (šifre 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Y002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243.831,25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19.824,17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8,1</w:t>
            </w:r>
          </w:p>
        </w:tc>
      </w:tr>
    </w:tbl>
    <w:p>
      <w:pPr>
        <w:spacing w:before="0" w:after="0"/>
      </w:pPr>
    </w:p>
    <w:p>
      <w:r>
        <w:t xml:space="preserve">Manjak prihoda od nefinancijske imovine iskazan je u iznosu od 19.824,17 eura, što predstavlja značajno smanjenje u odnosu na isto razdoblje prethodne godine kada je iznosio 243.831,25 eura. Smanjenje manjka rezultat je znatno manjeg izvršenja rashoda za nabavu nefinancijske imovine u odnosu na prethodno razdoblje, dok su prihodi od prodaje nefinancijske imovine ostvareni u skladu s planiranom dinamikom.</w:t>
      </w:r>
    </w:p>
    <w:p/>
    <w:p>
      <w:pPr>
        <w:jc w:val="center"/>
        <w:pStyle w:val="Normal"/>
        <w:spacing w:line="240" w:lineRule="auto"/>
        <w:keepNext/>
      </w:pPr>
      <w:r>
        <w:rPr>
          <w:sz w:val="28"/>
          <w:rFonts w:ascii="Times New Roman" w:hAnsi="Times New Roman"/>
        </w:rPr>
        <w:t xml:space="preserve">Bilješka 49.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UKUPNI PRIHODI (šifre 6+7)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X067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1.272.038,72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1.833.052,67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144,1</w:t>
            </w:r>
          </w:p>
        </w:tc>
      </w:tr>
    </w:tbl>
    <w:p>
      <w:pPr>
        <w:spacing w:before="0" w:after="0"/>
      </w:pPr>
    </w:p>
    <w:p>
      <w:r>
        <w:t xml:space="preserve">Ukupni prihodi ostvareni su u iznosu od 1.833.052,67 eura, što predstavlja povećanje od 44,1 % u odnosu na isto razdoblje prethodne godine kada su iznosili 1.272.038,72 eura. Povećanje ukupnih prihoda rezultat je većeg ostvarenja prihoda poslovanja, osobito prihoda od pomoći iz drugih proračuna, poreznih prihoda i prihoda od pristojbi, naknada i drugih prihoda poslovanja.</w:t>
      </w:r>
    </w:p>
    <w:p/>
    <w:p>
      <w:pPr>
        <w:jc w:val="center"/>
        <w:pStyle w:val="Normal"/>
        <w:spacing w:line="240" w:lineRule="auto"/>
        <w:keepNext/>
      </w:pPr>
      <w:r>
        <w:rPr>
          <w:sz w:val="28"/>
          <w:rFonts w:ascii="Times New Roman" w:hAnsi="Times New Roman"/>
        </w:rPr>
        <w:t xml:space="preserve">Bilješka 50.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UKUPNI RASHODI (šifre Z005+4)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Y034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1.237.909,17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1.418.654,39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114,6</w:t>
            </w:r>
          </w:p>
        </w:tc>
      </w:tr>
    </w:tbl>
    <w:p>
      <w:pPr>
        <w:spacing w:before="0" w:after="0"/>
      </w:pPr>
    </w:p>
    <w:p>
      <w:r>
        <w:t xml:space="preserve">Ukupni rashodi ostvareni su u iznosu od 1.418.654,39 eura, što predstavlja povećanje od 14,6 % u odnosu na isto razdoblje prethodne godine kada su iznosili 1.237.909,17 eura. Povećanje ukupnih rashoda rezultat je većeg izvršenja rashoda poslovanja i provedbe planiranih aktivnosti Općine i njezinih proračunskih korisnika, uz istodobno smanjenje rashoda za nabavu nefinancijske imovine u odnosu na prethodno razdoblje.</w:t>
      </w:r>
    </w:p>
    <w:p/>
    <w:p>
      <w:pPr>
        <w:jc w:val="center"/>
        <w:pStyle w:val="Normal"/>
        <w:spacing w:line="240" w:lineRule="auto"/>
        <w:keepNext/>
      </w:pPr>
      <w:r>
        <w:rPr>
          <w:sz w:val="28"/>
          <w:rFonts w:ascii="Times New Roman" w:hAnsi="Times New Roman"/>
        </w:rPr>
        <w:t xml:space="preserve">Bilješka 51.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UKUPAN VIŠAK PRIHODA (šifre X067-Y034)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X004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34.129,55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414.398,28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1214,2</w:t>
            </w:r>
          </w:p>
        </w:tc>
      </w:tr>
    </w:tbl>
    <w:p>
      <w:pPr>
        <w:spacing w:before="0" w:after="0"/>
      </w:pPr>
    </w:p>
    <w:p>
      <w:r>
        <w:t xml:space="preserve">Ukupan višak prihoda ostvaren je u iznosu od 414.398,28 eura, što predstavlja značajno povećanje u odnosu na isto razdoblje prethodne godine kada je iznosio 34.129,55 eura. Povećanje viška prihoda rezultat je većeg ostvarenja ukupnih prihoda u odnosu na ukupne rashode, odnosno povoljnijeg odnosa prihoda i rashoda u izvještajnom razdoblju.</w:t>
      </w:r>
    </w:p>
    <w:p>
      <w:r>
        <w:t xml:space="preserve">Na povećanje viška prihoda najveći utjecaj imalo je povećanje prihoda poslovanja, osobito prihoda od pomoći iz drugih proračuna i ostalih prihoda poslovanja, dok su rashodi za nabavu nefinancijske imovine ostvareni u znatno manjem iznosu u odnosu na prethodno razdoblje zbog dinamike realizacije kapitalnih projekata.</w:t>
      </w:r>
    </w:p>
    <w:p/>
    <w:p>
      <w:pPr>
        <w:jc w:val="center"/>
        <w:pStyle w:val="Normal"/>
        <w:spacing w:line="240" w:lineRule="auto"/>
        <w:keepNext/>
      </w:pPr>
      <w:r>
        <w:rPr>
          <w:sz w:val="28"/>
          <w:rFonts w:ascii="Times New Roman" w:hAnsi="Times New Roman"/>
        </w:rPr>
        <w:t xml:space="preserve">Bilješka 52.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9221x, 9222x</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Višak prihoda - preneseni (šifre 92211+92212-92221-92222)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9221x,9222x VP</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147.727,99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91.005,28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61,6</w:t>
            </w:r>
          </w:p>
        </w:tc>
      </w:tr>
    </w:tbl>
    <w:p>
      <w:pPr>
        <w:spacing w:before="0" w:after="0"/>
      </w:pPr>
    </w:p>
    <w:p>
      <w:r>
        <w:t xml:space="preserve">Preneseni višak prihoda na početku izvještajnog razdoblja iznosi 91.005,28 eura, što predstavlja smanjenje od 38,4 % u odnosu na isto razdoblje prethodne godine kada je iznosio 147.727,99 eura. Smanjenje prenesenog viška prihoda rezultat je korištenja dijela prenesenih sredstava iz prethodnih razdoblja za financiranje rashoda i izdataka u skladu s planiranim aktivnostima i programima Općine i njezinih proračunskih korisnika.</w:t>
      </w:r>
    </w:p>
    <w:p/>
    <w:p>
      <w:pPr>
        <w:jc w:val="center"/>
        <w:pStyle w:val="Normal"/>
        <w:spacing w:line="240" w:lineRule="auto"/>
        <w:keepNext/>
      </w:pPr>
      <w:r>
        <w:rPr>
          <w:sz w:val="28"/>
          <w:rFonts w:ascii="Times New Roman" w:hAnsi="Times New Roman"/>
        </w:rPr>
        <w:t xml:space="preserve">Bilješka 53.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96, 97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Obračunati prihodi poslovanja i od prodaje nefinancijske imovine - nenaplaćeni (šifre 96+97)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96,97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18.561,92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17.214,50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92,7</w:t>
            </w:r>
          </w:p>
        </w:tc>
      </w:tr>
    </w:tbl>
    <w:p>
      <w:pPr>
        <w:spacing w:before="0" w:after="0"/>
      </w:pPr>
    </w:p>
    <w:p>
      <w:r>
        <w:t xml:space="preserve">Obračunati prihodi poslovanja i od prodaje nefinancijske imovine – nenaplaćeni iznose 17.214,50 eura, što predstavlja smanjenje od 7,3 % u odnosu na isto razdoblje prethodne godine kada su iznosili 18.561,92 eura. Smanjenje nenaplaćenih prihoda rezultat je smanjenja potraživanja i bolje naplate prihoda u odnosu na prethodno izvještajno razdoblje.</w:t>
      </w:r>
    </w:p>
    <w:p/>
    <w:p>
      <w:pPr>
        <w:jc w:val="center"/>
        <w:pStyle w:val="Normal"/>
        <w:spacing w:line="240" w:lineRule="auto"/>
        <w:keepNext/>
      </w:pPr>
      <w:r>
        <w:rPr>
          <w:sz w:val="28"/>
          <w:rFonts w:ascii="Times New Roman" w:hAnsi="Times New Roman"/>
        </w:rPr>
        <w:t xml:space="preserve">Bilješka 54.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Višak prihoda i primitaka raspoloživ u sljedećem razdoblju (šifre X005 + '9221-9222' - Y005 - '9222-9221')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X006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181.857,54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505.403,56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277,9</w:t>
            </w:r>
          </w:p>
        </w:tc>
      </w:tr>
    </w:tbl>
    <w:p>
      <w:pPr>
        <w:spacing w:before="0" w:after="0"/>
      </w:pPr>
    </w:p>
    <w:p>
      <w:r>
        <w:t xml:space="preserve">Višak prihoda i primitaka raspoloživ u sljedećem razdoblju iznosi 505.403,56 eura, što predstavlja povećanje od 177,9 % u odnosu na isto razdoblje prethodne godine kada je iznosio 181.857,54 eura. Povećanje raspoloživog viška prihoda i primitaka rezultat je povoljnijeg ostvarenja ukupnih prihoda u odnosu na ukupne rashode te iskazanog viška prihoda poslovanja u izvještajnom razdoblju, uz uključivanje prenesenih viškova iz prethodnih razdoblja.</w:t>
      </w:r>
    </w:p>
    <w:p/>
    <w:p>
      <w:pPr>
        <w:jc w:val="center"/>
        <w:pStyle w:val="Normal"/>
        <w:spacing w:line="240" w:lineRule="auto"/>
        <w:keepNext/>
      </w:pPr>
      <w:r>
        <w:rPr>
          <w:sz w:val="28"/>
          <w:rFonts w:ascii="Times New Roman" w:hAnsi="Times New Roman"/>
        </w:rPr>
        <w:t xml:space="preserve">Bilješka 55.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novčanih sredstava na početku izvještajnog razdoblja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11P</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412.925,45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92.556,42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22,4</w:t>
            </w:r>
          </w:p>
        </w:tc>
      </w:tr>
    </w:tbl>
    <w:p>
      <w:pPr>
        <w:spacing w:before="0" w:after="0"/>
      </w:pPr>
    </w:p>
    <w:p>
      <w:r>
        <w:t xml:space="preserve">Stanje novčanih sredstava na početku izvještajnog razdoblja odražava stanje raspoloživih sredstava Općine i proračunskog korisnika prenesenih iz prethodnog razdoblja, a razlika u odnosu na prethodnu godinu rezultat je dinamike priljeva i odljeva novčanih sredstava.</w:t>
      </w:r>
    </w:p>
    <w:p/>
    <w:p>
      <w:pPr>
        <w:jc w:val="center"/>
        <w:pStyle w:val="Normal"/>
        <w:spacing w:line="240" w:lineRule="auto"/>
        <w:keepNext/>
      </w:pPr>
      <w:r>
        <w:rPr>
          <w:sz w:val="28"/>
          <w:rFonts w:ascii="Times New Roman" w:hAnsi="Times New Roman"/>
        </w:rPr>
        <w:t xml:space="preserve">Bilješka 56.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11-dugov.</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Ukupni priljevi na novčane račune i blagajne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11-dugov.</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1.354.171,54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1.958.807,69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144,6</w:t>
            </w:r>
          </w:p>
        </w:tc>
      </w:tr>
    </w:tbl>
    <w:p>
      <w:pPr>
        <w:spacing w:before="0" w:after="0"/>
      </w:pPr>
    </w:p>
    <w:p>
      <w:r>
        <w:t xml:space="preserve">Ukupni priljevi na novčane račune i blagajne ostvareni su u iznosu od 1.958.807,69 eura, što predstavlja povećanje od 44,6 % u odnosu na isto razdoblje prethodne godine kada su iznosili 1.354.171,54 eura. Povećanje priljeva rezultat je većeg ostvarenja prihoda poslovanja, osobito prihoda od pomoći iz drugih proračuna, poreznih prihoda i drugih prihoda ostvarenih tijekom izvještajnog razdoblja.</w:t>
      </w:r>
    </w:p>
    <w:p/>
    <w:p>
      <w:pPr>
        <w:jc w:val="center"/>
        <w:pStyle w:val="Normal"/>
        <w:spacing w:line="240" w:lineRule="auto"/>
        <w:keepNext/>
      </w:pPr>
      <w:r>
        <w:rPr>
          <w:sz w:val="28"/>
          <w:rFonts w:ascii="Times New Roman" w:hAnsi="Times New Roman"/>
        </w:rPr>
        <w:t xml:space="preserve">Bilješka 57.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11-potraž.</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Ukupni odljevi s novčanih računa i blagajni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11-potraž.</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1.574.307,49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1.614.892,78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102,6</w:t>
            </w:r>
          </w:p>
        </w:tc>
      </w:tr>
    </w:tbl>
    <w:p>
      <w:pPr>
        <w:spacing w:before="0" w:after="0"/>
      </w:pPr>
    </w:p>
    <w:p>
      <w:r>
        <w:t xml:space="preserve">Ukupni odljevi s novčanih računa i blagajni ostvareni su u iznosu od 1.614.892,78 eura, što predstavlja povećanje od 2,6 % u odnosu na isto razdoblje prethodne godine kada su iznosili 1.574.307,49 eura. Povećanje odljeva rezultat je većeg izvršenja rashoda poslovanja i podmirenja obveza Općine i njezinih proračunskih korisnika tijekom izvještajnog razdoblja.</w:t>
      </w:r>
    </w:p>
    <w:p/>
    <w:p>
      <w:pPr>
        <w:jc w:val="center"/>
        <w:pStyle w:val="Normal"/>
        <w:spacing w:line="240" w:lineRule="auto"/>
        <w:keepNext/>
      </w:pPr>
      <w:r>
        <w:rPr>
          <w:sz w:val="28"/>
          <w:rFonts w:ascii="Times New Roman" w:hAnsi="Times New Roman"/>
        </w:rPr>
        <w:t xml:space="preserve">Bilješka 58.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novčanih sredstava na kraju izvještajnog razdoblja (šifre 11P + '11-dugov.' - '11-potraž.')</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11K</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192.789,50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436.471,33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226,4</w:t>
            </w:r>
          </w:p>
        </w:tc>
      </w:tr>
    </w:tbl>
    <w:p>
      <w:pPr>
        <w:spacing w:before="0" w:after="0"/>
      </w:pPr>
    </w:p>
    <w:p>
      <w:r>
        <w:t xml:space="preserve">Stanje novčanih sredstava na kraju izvještajnog razdoblja iznosi 436.471,33 eura, što predstavlja povećanje od 126,4 % u odnosu na isto razdoblje prethodne godine kada je iznosilo 192.789,50 eura. Povećanje stanja novčanih sredstava rezultat je većeg ostvarenja priljeva na novčane račune u odnosu na odljeve tijekom izvještajnog razdoblja.</w:t>
      </w:r>
    </w:p>
    <w:p/>
    <w:p>
      <w:pPr>
        <w:jc w:val="center"/>
        <w:pStyle w:val="Normal"/>
        <w:spacing w:line="240" w:lineRule="auto"/>
        <w:keepNext/>
      </w:pPr>
      <w:r>
        <w:rPr>
          <w:sz w:val="28"/>
          <w:rFonts w:ascii="Times New Roman" w:hAnsi="Times New Roman"/>
        </w:rPr>
        <w:t xml:space="preserve">Bilješka 59.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63311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Tekuće pomoći iz državnog proračuna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63311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152.570,36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634.337,77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415,8</w:t>
            </w:r>
          </w:p>
        </w:tc>
      </w:tr>
    </w:tbl>
    <w:p>
      <w:pPr>
        <w:spacing w:before="0" w:after="0"/>
      </w:pPr>
    </w:p>
    <w:p>
      <w:r>
        <w:t xml:space="preserve">Prihodi od tekućih pomoći iz državnog proračuna ostvareni su u iznosu od 634.337,77 eura, što predstavlja povećanje od 315,8 % u odnosu na isto razdoblje prethodne godine kada su iznosili 152.570,36 eura. Povećanje prihoda rezultat je većeg priljeva sredstava iz državnog proračuna za financiranje redovnih aktivnosti, provedbu programa i podmirenje planiranih rashoda Općine i njezinih proračunskih korisnika.</w:t>
      </w:r>
    </w:p>
    <w:p/>
    <w:p>
      <w:pPr>
        <w:jc w:val="center"/>
        <w:pStyle w:val="Normal"/>
        <w:spacing w:line="240" w:lineRule="auto"/>
        <w:keepNext/>
      </w:pPr>
      <w:r>
        <w:rPr>
          <w:b/>
          <w:sz w:val="28"/>
          <w:rFonts w:ascii="Times New Roman" w:hAnsi="Times New Roman"/>
        </w:rPr>
        <w:t xml:space="preserve">Izvještaj o obvezama</w:t>
      </w:r>
    </w:p>
    <w:p>
      <w:pPr>
        <w:jc w:val="center"/>
        <w:pStyle w:val="Normal"/>
        <w:spacing w:line="240" w:lineRule="auto"/>
        <w:keepNext/>
      </w:pPr>
      <w:r>
        <w:rPr>
          <w:sz w:val="28"/>
          <w:rFonts w:ascii="Times New Roman" w:hAnsi="Times New Roman"/>
        </w:rPr>
        <w:t xml:space="preserve">Bilješka 60.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dospjelih obveza na kraju izvještajnog razdoblja (šifre V008+D23+D24 + 'D dio 25,26' + 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204.876,03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U navedenom razdoblju stanje dospjelih obveza  na kraju izvještajnog razdoblja iznosi 204.876,03 EUR i odnosi si se ponajviše na obveze iz projekata koje Općina Vojnić provodi u 2026.godini.</w:t>
      </w:r>
    </w:p>
    <w:p/>
    <w:p>
      <w:pPr>
        <w:jc w:val="center"/>
        <w:pStyle w:val="Normal"/>
        <w:spacing w:line="240" w:lineRule="auto"/>
        <w:keepNext/>
      </w:pPr>
      <w:r>
        <w:rPr>
          <w:sz w:val="28"/>
          <w:rFonts w:ascii="Times New Roman" w:hAnsi="Times New Roman"/>
        </w:rPr>
        <w:t xml:space="preserve">Bilješka 61.</w:t>
      </w:r>
    </w:p>
    <w:p>
      <w:pPr>
        <w:jc w:val="both"/>
        <w:pStyle w:val="Normal"/>
        <w:spacing w:line="240" w:lineRule="auto"/>
      </w:pPr>
      <w:r>
        <w:rPr>
          <w:b/>
          <w:sz w:val="24"/>
          <w:rFonts w:ascii="Times New Roman" w:hAnsi="Times New Roman"/>
        </w:rPr>
        <w:t xml:space="preserve">EU izvještaj</w:t>
      </w:r>
    </w:p>
    <w:p>
      <w:r>
        <w:t xml:space="preserve">Na kontu Obveze za EU predujmove dane iz državnog proračuna iskazane su obveze u iznosu od 145.264,49 eura, dok u prethodnoj godini nije bilo evidentiranih obveza po ovoj osnovi. Obveza je nastala zbog primitka predujma iz državnog proračuna za financiranje projekta sufinanciranog sredstvima Europske unije, a evidentira se sukladno važećim računovodstvenim propisima za proračunsko računovodstvo.</w:t>
      </w:r>
    </w:p>
    <w:p/>
  </w:body>
</w:document>
</file>

<file path=word/styles.xml><?xml version="1.0" encoding="utf-8"?>
<w:styles xmlns:w="http://schemas.openxmlformats.org/wordprocessingml/2006/main">
  <w:docDefaults>
    <w:rPrDefault>
      <w:rPr>
        <w:rFonts w:ascii="Times New Roman" w:hAnsi="Times New Roman"/>
        <w:sz w:val="24"/>
      </w:rPr>
    </w:rPrDefault>
  </w:docDefaults>
  <w:style w:type="paragraph" w:styleId="Normal" w:default="true">
    <w:name w:val="Normal"/>
    <w:rPr>
      <w:rFonts w:ascii="Times New Roman" w:hAnsi="Times New Roman"/>
      <w:sz w:val="24"/>
    </w:rPr>
  </w:style>
</w:styles>
</file>

<file path=word/_rels/document.xml.rels>&#65279;<?xml version="1.0" encoding="utf-8"?><Relationships xmlns="http://schemas.openxmlformats.org/package/2006/relationships"><Relationship Type="http://schemas.openxmlformats.org/officeDocument/2006/relationships/styles" Target="/word/styles.xml" Id="Rd4e7c6a780664f40" /></Relationships>
</file>