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600b3118f4ee7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44102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DJEČJI VRTIĆ VOJNIĆ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184.343,99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182.616,98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211.027,43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185.650,30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26.683,44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3.033,32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1.186,24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PRIHODA OD NEFINANCIJSKE IMOVINE (šifre 7-4,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X002, 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1.186,24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27.869,68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3.033,32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10,9</w:t>
            </w:r>
          </w:p>
        </w:tc>
      </w:tr>
    </w:tbl>
    <w:p>
      <w:pPr>
        <w:spacing w:before="0" w:after="0"/>
      </w:pPr>
    </w:p>
    <w:p>
      <w:r>
        <w:t xml:space="preserve">Proračunski korisnik: Dječji vrtić Vojnić, Starčevićev trg 4, Vojnić; Razina 21; RKDP 44102; OIB: 88272996636; Matični broj 01174436; Šifra djelatnosti: 8510. Dječji vrtić Vojnić djeluje po principima zakonskih okvira: Zakon o proračunu ( Narodne novine 144/21 ), Pravilnik o proračunskom računovodstvu i Računskom planu ( Narodne novine 158/23, 154/24 ), Pravilnik o financijskom izvještavanju u proračunskom računovodstvu ( Narodne novine 52/25 ), Pravilnik o proračunskim klasifikacijama ( Narodne novine 4/24 ). Izvještaj Dječjeg vrtića Vojnić sastavljen je za razdoblje od 01. siječnja do 30. lipnja 2026. godine i uključuje prihode i primitke, rashode i izdatke i obaveze Dječjeg vrtića Vojnić. Podaci za popunjavanje financijskih izvještaja dobivaju se iz Glavne knjige proračuna Dječjeg vrtića Vojnić. Poslovanje Dječjeg vrtića Vojnić obavlja se preko jedinstvenog računa Općine Vojnić broj: HR18 2340 0091 8503 0000 8 otvorenog kod Privredne banke Zagreb d.d. U promatranom razdoblju ostvareni su prihodi poslovanja u iznosu od 182.616,98 EUR dok su rashodi poslovanja  ostvareni u iznosu 185.650,30 EUR. U razdoblju od 01. siječnja 2026. godine do 30. lipnja 2026. godine ostvaren je višak prihoda i primitaka ostvarenih u iznosu od 3.033,32 EUR.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184.343,99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182.616,98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99,1</w:t>
            </w:r>
          </w:p>
        </w:tc>
      </w:tr>
    </w:tbl>
    <w:p>
      <w:pPr>
        <w:spacing w:before="0" w:after="0"/>
      </w:pPr>
    </w:p>
    <w:p>
      <w:r>
        <w:t xml:space="preserve">Dječji vrtić Vojnić u 2026. godini ima novi kolektivni ugovor za djelatnost predškolskog odgoja i obrazovanja u kojem je došlo do povećanja osnovice za obračun plaće djelatnika i koeficijenta složenosti poslova radnih mjesta na kojima su ti isti zaposlenici raspoređeni. Dječji vrtić Vojnić je povećao svoje kapacitete za prihvat i boravak djece što je uzročno posljedično dovelo do potrebe za zapošljavanjem dodatnih zaposlenika. Prihodi su zabilježeni u  iznosu od 182.616,98 eura odnosno 31,6% u promatranom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11.453,78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24.763,96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216,2</w:t>
            </w:r>
          </w:p>
        </w:tc>
      </w:tr>
    </w:tbl>
    <w:p>
      <w:pPr>
        <w:spacing w:before="0" w:after="0"/>
      </w:pPr>
    </w:p>
    <w:p>
      <w:r>
        <w:t xml:space="preserve">Dječji vrtić Vojnić se djelom financira iz uplata roditelja za boravak djece u DV. Do povećanja prihoda od 216,2%, došlo je uslijed boravka djece u DV Vojnić.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172.075,95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157.853,02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91,7</w:t>
            </w:r>
          </w:p>
        </w:tc>
      </w:tr>
    </w:tbl>
    <w:p>
      <w:pPr>
        <w:spacing w:before="0" w:after="0"/>
      </w:pPr>
    </w:p>
    <w:p>
      <w:r>
        <w:t xml:space="preserve">Prihodi iz nadležnog proračuna i od HZZO-a na temelju ugovornih obveza ostvareni su u iznosu od 157.853,02 EUR, što predstavlja 91,7 % ostvarenja u odnosu na isto razdoblje prethodne godine (172.075,95 EUR). Smanjenje prihoda posljedica je manjeg doznačenog iznosa sredstava iz nadležnog proračuna i/ili HZZO-a u odnosu na isto razdoblje prethodne godine, sukladno financijskim potrebama i dinamici financiranja tijekom izvještajnog razdoblja.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211.027,43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185.650,30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88,0</w:t>
            </w:r>
          </w:p>
        </w:tc>
      </w:tr>
    </w:tbl>
    <w:p>
      <w:pPr>
        <w:spacing w:before="0" w:after="0"/>
      </w:pPr>
    </w:p>
    <w:p>
      <w:r>
        <w:t xml:space="preserve">U izvještajnom razdoblju, Rashodi poslovanja (skupine 31, 32, 34, 35, 36, 37 i 38) ostvareni su u iznosu od 185.65030eura, što predstavlja 88,0% ostvarenja u odnosu na usporedno razdoblje (odnosno plan). Smanjenje ukupnih rashoda: Zabilježen je pad rashoda u iznosu od 25.377,13 eura, čime je postignuta značajna proračunska ušteda. Niže ostvarenje rezultirano je primarno optimizacijom materijalnih rashoda (skupina 32) i racionalnijim upravljanjem ostalim operativnim troškovima, uz zadržavanje stabilnosti rashoda za zaposlene i financijskih obveza. Poslovanje se odvijalo u skladu s načelima ekonomičnosti, pri čemu su sve ključne funkcije izvršene uz manji utrošak sredstava od predviđenog, što je rezultiralo indeksom od 88,0%.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174.822,07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155.697,21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89,1</w:t>
            </w:r>
          </w:p>
        </w:tc>
      </w:tr>
    </w:tbl>
    <w:p>
      <w:pPr>
        <w:spacing w:before="0" w:after="0"/>
      </w:pPr>
    </w:p>
    <w:p>
      <w:r>
        <w:t xml:space="preserve">U ovom obračunskom razdoblju nije bilo dodatnih zapošljavanja što je u velikoj mjeri utjecalo na smanjenje troškova vezanih u plaće, doprinose i ostale rashode koji se odnose na zaposlene djelatnike. Na ovoj poziciji vidi se smanjenje prihoda za 20,9% u odnosu na prethodnu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(bruto) (šifre 3111 do 3114)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145.890,27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130.405,33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89,4</w:t>
            </w:r>
          </w:p>
        </w:tc>
      </w:tr>
    </w:tbl>
    <w:p>
      <w:pPr>
        <w:spacing w:before="0" w:after="0"/>
      </w:pPr>
    </w:p>
    <w:p>
      <w:r>
        <w:t xml:space="preserve">U ovom obračunskom razdoblju nije bilo dodatnih zapošljavanja što je u velikoj mjeri utjecalo na smanjenje troškova vezanih u plaće, doprinose i ostale rashode koji se odnose na zaposlene djelatnike. Na ovoj poziciji vidi se smanjenje prihoda za 20,6% u odnosu na prethodnu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4.760,00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3.775,00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79,3</w:t>
            </w:r>
          </w:p>
        </w:tc>
      </w:tr>
    </w:tbl>
    <w:p>
      <w:pPr>
        <w:spacing w:before="0" w:after="0"/>
      </w:pPr>
    </w:p>
    <w:p>
      <w:r>
        <w:t xml:space="preserve">Navedeno se odnosi na isplate Uskrsnice i regresa do propisanog iznosa za sve djelatnike koji su na to ostvarili pravo u razmjernom ili u punom iznosu.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36.105,82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29.953,09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83,0</w:t>
            </w:r>
          </w:p>
        </w:tc>
      </w:tr>
    </w:tbl>
    <w:p>
      <w:pPr>
        <w:spacing w:before="0" w:after="0"/>
      </w:pPr>
    </w:p>
    <w:p>
      <w:r>
        <w:t xml:space="preserve">Niže ostvarenje rezultirano je primarno optimizacijom materijalnih rashoda (skupina 32) i racionalnijim upravljanjem ostalim operativnim troškovima, uz zadržavanje stabilnosti rashoda za zaposlene i financijskih obveza.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32,6</w:t>
            </w:r>
          </w:p>
        </w:tc>
      </w:tr>
    </w:tbl>
    <w:p>
      <w:pPr>
        <w:spacing w:before="0" w:after="0"/>
      </w:pPr>
    </w:p>
    <w:p>
      <w:r>
        <w:t xml:space="preserve">Smanjenje troškova koji se odnose na službena putovanja nastao je zbog smanjenog broja odlazaka na edukacije djelatnika te ostala putovanja u zavisnosti od potrebe posla za 67,4%.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prijevoz, za rad na terenu i odvojeni život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9.698,43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7.743,79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79,8</w:t>
            </w:r>
          </w:p>
        </w:tc>
      </w:tr>
    </w:tbl>
    <w:p>
      <w:pPr>
        <w:spacing w:before="0" w:after="0"/>
      </w:pPr>
    </w:p>
    <w:p>
      <w:r>
        <w:t xml:space="preserve">Smanjenje od 20,2% zabilježeno je zbog manjeg broja osoba koje su koristile pravo naknade putnih troškova za dolazak i odlazak sa posla.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303,00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689,00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227,4</w:t>
            </w:r>
          </w:p>
        </w:tc>
      </w:tr>
    </w:tbl>
    <w:p>
      <w:pPr>
        <w:spacing w:before="0" w:after="0"/>
      </w:pPr>
    </w:p>
    <w:p>
      <w:r>
        <w:t xml:space="preserve">U promatranom izvještajnom razdoblju tekuće godine došlo je do povećanja troškova vezanih uz stručno zapošljavanje s obzirom da je bilo potrebe za dodatnim usavršavanjem djelatnika kako bi se pratile sve novine vezanu uz rad i djelovanje dječjih vrtića, porast je zabilježen u iznosu od 689,00 eura ili 227,4%.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1.996,79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2.197,35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110,0</w:t>
            </w:r>
          </w:p>
        </w:tc>
      </w:tr>
    </w:tbl>
    <w:p>
      <w:pPr>
        <w:spacing w:before="0" w:after="0"/>
      </w:pPr>
    </w:p>
    <w:p>
      <w:r>
        <w:t xml:space="preserve">Uslijed racionalizacije trošenja uredskog materijala i ostalih stvari u pomatranom razdoblju zabilježeno je blago povećanje na navedenoj poziciji od 10,0%.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Energija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2.976,72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2.679,54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90,0</w:t>
            </w:r>
          </w:p>
        </w:tc>
      </w:tr>
    </w:tbl>
    <w:p>
      <w:pPr>
        <w:spacing w:before="0" w:after="0"/>
      </w:pPr>
    </w:p>
    <w:p>
      <w:r>
        <w:t xml:space="preserve">Zabilježeno je blago smanjenje rashoda u iznosu od 2.679,54 EUR, odnosno 10,0% u odnosu na prethodno razdoblje ponajviše se odnosi na nabavu lož ulja koje se u DV Vojnić koristi za grijanje prostorija. S obzirom da je grijna sezona završila zabilježeno je i blago smanjenje troškova.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usluge (šifre 3231 do 3239)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9.191,60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5.954,53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64,8</w:t>
            </w:r>
          </w:p>
        </w:tc>
      </w:tr>
    </w:tbl>
    <w:p>
      <w:pPr>
        <w:spacing w:before="0" w:after="0"/>
      </w:pPr>
    </w:p>
    <w:p>
      <w:r>
        <w:t xml:space="preserve">Racionalizacijom troškova poslovanja, DV Vojnić je zabilježio osjetno smanjenje troškova na pozicijama vezanim uz rashode za usluge za 35,2%.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201,01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143,6</w:t>
            </w:r>
          </w:p>
        </w:tc>
      </w:tr>
    </w:tbl>
    <w:p>
      <w:pPr>
        <w:spacing w:before="0" w:after="0"/>
      </w:pPr>
    </w:p>
    <w:p>
      <w:r>
        <w:t xml:space="preserve">U promatranom izvještajnom razdoblju postojala je potreba za tekućim i investicijskim održavanjem na samom objektu Vrtića što je rezultiralo povećanjem od 201,01 eura ili 143,6%.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807,23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1.501,18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186,0</w:t>
            </w:r>
          </w:p>
        </w:tc>
      </w:tr>
    </w:tbl>
    <w:p>
      <w:pPr>
        <w:spacing w:before="0" w:after="0"/>
      </w:pPr>
    </w:p>
    <w:p>
      <w:r>
        <w:t xml:space="preserve">Povećanje navedenih usluga vezano je uz promjene cjenika usluga koje obavljaju komunalna poduzeća na području općine Vojnić, odvoz smeća i stavke vezane uz obračun potrošnje vode porasle su za 86,0%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1.068,12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439,08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41,1</w:t>
            </w:r>
          </w:p>
        </w:tc>
      </w:tr>
    </w:tbl>
    <w:p>
      <w:pPr>
        <w:spacing w:before="0" w:after="0"/>
      </w:pPr>
    </w:p>
    <w:p>
      <w:r>
        <w:t xml:space="preserve">Kroz promatrano razdoblje zabilježeno je smanjenje od 58,9% na navedenoj stavci uslijed smanjenja broja djelatnika DV Vojnić koji su bili u obavezi obaviti zdravstvene preglede.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Računalne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1.337,96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6,6</w:t>
            </w:r>
          </w:p>
        </w:tc>
      </w:tr>
    </w:tbl>
    <w:p>
      <w:pPr>
        <w:spacing w:before="0" w:after="0"/>
      </w:pPr>
    </w:p>
    <w:p>
      <w:r>
        <w:t xml:space="preserve">Rashodi za računalne usluge ostvareni su u iznosu od 88,04 EUR, što predstavlja 6,6 % ostvarenja u odnosu na isto razdoblje prethodne godine. Značajno smanjenje rashoda posljedica je manje potrebe za uslugama održavanja i nadogradnje računalnih programa te manjeg opsega ugovorenih računalnih usluga tijekom izvještajnog razdoblja u odnosu na prethodnu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2.170,00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16,1</w:t>
            </w:r>
          </w:p>
        </w:tc>
      </w:tr>
    </w:tbl>
    <w:p>
      <w:pPr>
        <w:spacing w:before="0" w:after="0"/>
      </w:pPr>
    </w:p>
    <w:p>
      <w:r>
        <w:t xml:space="preserve">Rashodi za ostale usluge ostvareni su u iznosu od 350,00 EUR, što predstavlja 16,1 % ostvarenja u odnosu na isto razdoblje prethodne godine. Smanjenje rashoda posljedica je manjeg opsega korištenja ostalih usluga tijekom izvještajnog razdoblja te izostanka jednokratnih usluga koje su bile realizirane u prvom polugodištu prethodne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(šifre 3291 do 3299)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270,70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59,1</w:t>
            </w:r>
          </w:p>
        </w:tc>
      </w:tr>
    </w:tbl>
    <w:p>
      <w:pPr>
        <w:spacing w:before="0" w:after="0"/>
      </w:pPr>
    </w:p>
    <w:p>
      <w:r>
        <w:t xml:space="preserve">ashodi na skupini 329 – Ostali nespomenuti rashodi poslovanja planirani su u iznosu od 160,00 eura, što predstavlja smanjenje od 40,9 % u odnosu na prethodnu godinu kada su iznosili 270,70 eura. Smanjenje se odnosi na racionalizaciju i usklađivanje planiranih sredstava za ostale nespomenute rashode poslovanja prema očekivanim potrebama u proračunskom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rashodi poslovanja (šifre 3-Z003+Z004)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211.027,43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185.650,30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88,0</w:t>
            </w:r>
          </w:p>
        </w:tc>
      </w:tr>
    </w:tbl>
    <w:p>
      <w:pPr>
        <w:spacing w:before="0" w:after="0"/>
      </w:pPr>
    </w:p>
    <w:p>
      <w:r>
        <w:t xml:space="preserve">Ukupni rashodi poslovanja planirani su u iznosu od 185.650,30 eura, što predstavlja smanjenje od 12,0 % u odnosu na prethodnu godinu kada su iznosili 211.027,43 eura. Smanjenje ukupnih rashoda poslovanja rezultat je usklađivanja planiranih rashoda s realnim potrebama korisnika, racionalnijeg planiranja materijalnih rashoda te prilagodbe pojedinih rashodnih stavki prema očekivanom izvršenju u proračunskom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26.683,44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3.033,32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11,4</w:t>
            </w:r>
          </w:p>
        </w:tc>
      </w:tr>
    </w:tbl>
    <w:p>
      <w:pPr>
        <w:spacing w:before="0" w:after="0"/>
      </w:pPr>
    </w:p>
    <w:p>
      <w:r>
        <w:t xml:space="preserve">Manjak prihoda poslovanja iskazan je u iznosu od 3.033,32 eura, što predstavlja značajno smanjenje u odnosu na prethodnu godinu kada je iznosio 26.683,44 eura. Smanjenje manjka prihoda poslovanja rezultat je poduzetih mjera radi uravnoteženja proračuna, povećanja učinkovitosti naplate prihoda te usklađivanja rashoda poslovanja s raspoloživim proračunskim sredstvima.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Obračunati prihodi poslovanja - nenaplaćeni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12.751,99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1.741,21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13,7</w:t>
            </w:r>
          </w:p>
        </w:tc>
      </w:tr>
    </w:tbl>
    <w:p>
      <w:pPr>
        <w:spacing w:before="0" w:after="0"/>
      </w:pPr>
    </w:p>
    <w:p>
      <w:r>
        <w:t xml:space="preserve">Obračunati prihodi poslovanja – nenaplaćeni iskazani su u iznosu od 1.741,21 eura, što predstavlja smanjenje od 86,3 % u odnosu na prethodnu godinu kada su iznosili 12.751,99 eura. Smanjenje nenaplaćenih prihoda rezultat je poduzetih aktivnosti na poboljšanju naplate potraživanja i usklađivanju evidencije prihoda, čime je smanjen iznos dospjelih, a nenaplaćenih potraživanja.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PRIHODI (šifre 6+7)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184.343,99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182.616,98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99,1</w:t>
            </w:r>
          </w:p>
        </w:tc>
      </w:tr>
    </w:tbl>
    <w:p>
      <w:pPr>
        <w:spacing w:before="0" w:after="0"/>
      </w:pPr>
    </w:p>
    <w:p>
      <w:r>
        <w:t xml:space="preserve">Ukupni prihodi ostvareni su u iznosu od 182.616,98 eura, što predstavlja smanjenje od 0,9 % u odnosu na prethodnu godinu kada su iznosili 184.343,99 eura. Ostvarena razina prihoda približno je jednaka prethodnoj godini, a manje odstupanje rezultat je promjena u strukturi i dinamici ostvarenja pojedinih prihoda tijekom proračunskog razdoblja.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UKUPNI RASHODI (šifre Z005+4)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212.213,67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185.650,30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87,5</w:t>
            </w:r>
          </w:p>
        </w:tc>
      </w:tr>
    </w:tbl>
    <w:p>
      <w:pPr>
        <w:spacing w:before="0" w:after="0"/>
      </w:pPr>
    </w:p>
    <w:p>
      <w:r>
        <w:t xml:space="preserve">Ukupni rashodi smanjeni su u odnosu na prethodnu godinu za 12,5 %, prvenstveno zbog smanjenja rashoda poslovanja i prilagodbe izvršenja rashoda stvarno ostvarenim potrebama i raspoloživim sredstvima.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UKUPAN MANJAK PRIHODA (šifre Y034-X067)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27.869,68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3.033,32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10,9</w:t>
            </w:r>
          </w:p>
        </w:tc>
      </w:tr>
    </w:tbl>
    <w:p>
      <w:pPr>
        <w:spacing w:before="0" w:after="0"/>
      </w:pPr>
    </w:p>
    <w:p>
      <w:r>
        <w:t xml:space="preserve">Ukupan manjak prihoda iskazan je u iznosu od 3.033,32 eura, što predstavlja značajno smanjenje u odnosu na prethodnu godinu kada je iznosio 27.869,68 eura. Smanjenje manjka prihoda rezultat je povoljnijeg odnosa ostvarenih prihoda i izvršenih rashoda te usklađivanja rashoda s raspoloživim proračunskim sredstvima.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96, 97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Obračunati prihodi poslovanja i od prodaje nefinancijske imovine - nenaplaćeni (šifre 96+97)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12.751,99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1.741,21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13,7</w:t>
            </w:r>
          </w:p>
        </w:tc>
      </w:tr>
    </w:tbl>
    <w:p>
      <w:pPr>
        <w:spacing w:before="0" w:after="0"/>
      </w:pPr>
    </w:p>
    <w:p>
      <w:r>
        <w:t xml:space="preserve">Obračunati prihodi poslovanja i od prodaje nefinancijske imovine – nenaplaćeni iskazani su u iznosu od 1.741,21 eura, što predstavlja smanjenje od 86,3 % u odnosu na prethodnu godinu kada su iznosili 12.751,99 eura. Smanjenje nenaplaćenih prihoda rezultat je poboljšanja naplate potraživanja, poduzetih aktivnosti u postupcima naplate te usklađivanja evidencije potraživanja sa stvarnim stanjem.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novčanih sredstava na početku izvještajnog razdoblja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11P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279,65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519,5</w:t>
            </w:r>
          </w:p>
        </w:tc>
      </w:tr>
    </w:tbl>
    <w:p>
      <w:pPr>
        <w:spacing w:before="0" w:after="0"/>
      </w:pPr>
    </w:p>
    <w:p>
      <w:r>
        <w:t xml:space="preserve">Stanje novčanih sredstava na početku izvještajnog razdoblja iznosilo je 279,65 eura, što predstavlja povećanje u odnosu na prethodnu godinu kada je iznosilo 53,83 eura. Povećanje početnog stanja novčanih sredstava rezultat je prenesenog viška novčanih sredstava iz prethodnog razdoblja.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Sufinanciranje cijene usluge, participacije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11.453,78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24.763,96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216,2</w:t>
            </w:r>
          </w:p>
        </w:tc>
      </w:tr>
    </w:tbl>
    <w:p>
      <w:pPr>
        <w:spacing w:before="0" w:after="0"/>
      </w:pPr>
    </w:p>
    <w:p>
      <w:r>
        <w:t xml:space="preserve">Prihodi od sufinanciranja cijene usluge, participacija i sličnih prihoda ostvareni su u iznosu od 24.763,96 eura, što predstavlja povećanje od 116,2 % u odnosu na prethodnu godinu kada su iznosili 11.453,78 eura. Povećanje prihoda rezultat je većeg ostvarenja prihoda od korisnika usluga i povećane naplate participacija u odnosu na prethodno razdoblje.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kraju izvještajnog razdoblja nije bilo dospjelih, a neplaćenih obveza.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d15608f1bb44d95" /></Relationships>
</file>