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F1A1" w14:textId="77777777" w:rsidR="00725F1B" w:rsidRDefault="00725F1B" w:rsidP="00725F1B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val="hr-BA" w:eastAsia="hr-BA" w:bidi="ar-SA"/>
        </w:rPr>
        <w:drawing>
          <wp:inline distT="0" distB="0" distL="0" distR="0" wp14:anchorId="57FA9EDB" wp14:editId="44AD0FE6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B78FD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</w:p>
    <w:p w14:paraId="4A172485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74E0D93B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0FAA13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A08CE9E" w14:textId="77777777" w:rsidR="00725F1B" w:rsidRPr="0086782E" w:rsidRDefault="00725F1B" w:rsidP="00725F1B">
      <w:pPr>
        <w:pStyle w:val="Standard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>DJEČJI VRTIĆ VOJNIĆ</w:t>
      </w:r>
    </w:p>
    <w:p w14:paraId="6863AEC7" w14:textId="00AE9823" w:rsidR="00725F1B" w:rsidRPr="0086782E" w:rsidRDefault="00725F1B" w:rsidP="00725F1B">
      <w:pPr>
        <w:pStyle w:val="Standard"/>
        <w:jc w:val="both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 xml:space="preserve">Vojnić, </w:t>
      </w:r>
      <w:r w:rsidR="0086782E" w:rsidRPr="0086782E">
        <w:rPr>
          <w:rFonts w:cs="Times New Roman"/>
          <w:color w:val="000000"/>
        </w:rPr>
        <w:t>17. svibnja 2024. godine</w:t>
      </w:r>
    </w:p>
    <w:p w14:paraId="2FF656F6" w14:textId="77777777" w:rsidR="00725F1B" w:rsidRDefault="00725F1B" w:rsidP="00725F1B">
      <w:pPr>
        <w:pStyle w:val="Standard"/>
      </w:pPr>
    </w:p>
    <w:p w14:paraId="732D7A97" w14:textId="77777777" w:rsidR="00C4241A" w:rsidRDefault="00C4241A" w:rsidP="00725F1B">
      <w:pPr>
        <w:pStyle w:val="Standard"/>
      </w:pPr>
    </w:p>
    <w:p w14:paraId="0E01DABF" w14:textId="4ABBD97F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</w:t>
      </w:r>
      <w:r w:rsidR="0045092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IZMJENA I DOPUNA FINANCIJSKOG PLANA DJEČJEG VRTIĆA VOJNIĆ ZA</w:t>
      </w:r>
    </w:p>
    <w:p w14:paraId="20D6AC09" w14:textId="14E17A6F" w:rsidR="00725F1B" w:rsidRDefault="00725F1B" w:rsidP="007702A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644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GODINU</w:t>
      </w:r>
      <w:r w:rsidR="006C108F">
        <w:rPr>
          <w:b/>
          <w:sz w:val="28"/>
          <w:szCs w:val="28"/>
        </w:rPr>
        <w:t xml:space="preserve"> </w:t>
      </w:r>
    </w:p>
    <w:p w14:paraId="33BCD2EE" w14:textId="77777777" w:rsidR="007702A5" w:rsidRDefault="007702A5" w:rsidP="007702A5">
      <w:pPr>
        <w:pStyle w:val="Standard"/>
        <w:jc w:val="center"/>
        <w:rPr>
          <w:b/>
          <w:sz w:val="28"/>
          <w:szCs w:val="28"/>
        </w:rPr>
      </w:pPr>
    </w:p>
    <w:p w14:paraId="1F41514D" w14:textId="77777777" w:rsidR="00725F1B" w:rsidRDefault="00725F1B" w:rsidP="00725F1B">
      <w:pPr>
        <w:pStyle w:val="Standard"/>
        <w:jc w:val="both"/>
        <w:rPr>
          <w:b/>
          <w:sz w:val="28"/>
          <w:szCs w:val="28"/>
          <w:u w:val="single"/>
        </w:rPr>
      </w:pPr>
    </w:p>
    <w:p w14:paraId="27D8BF48" w14:textId="77777777" w:rsidR="00725F1B" w:rsidRDefault="00725F1B" w:rsidP="00725F1B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412EEB7F" w14:textId="77777777" w:rsidR="00725F1B" w:rsidRDefault="00725F1B" w:rsidP="00725F1B">
      <w:pPr>
        <w:pStyle w:val="Standard"/>
        <w:rPr>
          <w:lang w:eastAsia="hr-HR"/>
        </w:rPr>
      </w:pPr>
    </w:p>
    <w:p w14:paraId="400D45C5" w14:textId="77777777" w:rsidR="00725F1B" w:rsidRDefault="00725F1B" w:rsidP="00725F1B">
      <w:pPr>
        <w:pStyle w:val="Standard"/>
        <w:jc w:val="both"/>
        <w:rPr>
          <w:lang w:eastAsia="hr-HR"/>
        </w:rPr>
      </w:pPr>
    </w:p>
    <w:p w14:paraId="74C0C86A" w14:textId="2B145C14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 xml:space="preserve">Odredbama članka </w:t>
      </w:r>
      <w:r w:rsidR="002B5527">
        <w:rPr>
          <w:lang w:eastAsia="hr-HR"/>
        </w:rPr>
        <w:t>46</w:t>
      </w:r>
      <w:r>
        <w:rPr>
          <w:lang w:eastAsia="hr-HR"/>
        </w:rPr>
        <w:t xml:space="preserve">. Zakona o proračunu („Narodne novine“, broj </w:t>
      </w:r>
      <w:r w:rsidR="002B5527">
        <w:rPr>
          <w:lang w:eastAsia="hr-HR"/>
        </w:rPr>
        <w:t>144/21</w:t>
      </w:r>
      <w:r>
        <w:rPr>
          <w:lang w:eastAsia="hr-HR"/>
        </w:rPr>
        <w:t>) propisano je da ukoliko tijekom proračunske godine dođe do neusklađenosti prihoda i rashoda sa rashodima i izdacima treba izvršiti njihovo ponovno uravnoteženje putem izmjena i dopuna proračuna. Uravnoteženje proračuna provodi se tijekom proračunske godine izmjenama i</w:t>
      </w:r>
      <w:r w:rsidR="000D2EF8">
        <w:rPr>
          <w:lang w:eastAsia="hr-HR"/>
        </w:rPr>
        <w:t xml:space="preserve"> </w:t>
      </w:r>
      <w:r>
        <w:rPr>
          <w:lang w:eastAsia="hr-HR"/>
        </w:rPr>
        <w:t>dopunama proračuna prema postupku za donošenje proračuna.</w:t>
      </w:r>
      <w:r w:rsidR="000D2EF8">
        <w:rPr>
          <w:lang w:eastAsia="hr-HR"/>
        </w:rPr>
        <w:t xml:space="preserve"> </w:t>
      </w:r>
      <w:r>
        <w:rPr>
          <w:lang w:eastAsia="hr-HR"/>
        </w:rPr>
        <w:t>Na isti način izmjenama i dopunama financijskog plana usklađuju se planirana i ostvarena sredstva za svaki od planiranih programa.</w:t>
      </w:r>
    </w:p>
    <w:p w14:paraId="22D56E77" w14:textId="77777777" w:rsidR="00725F1B" w:rsidRDefault="00725F1B" w:rsidP="00D27095">
      <w:pPr>
        <w:pStyle w:val="Standard"/>
        <w:spacing w:line="360" w:lineRule="auto"/>
        <w:rPr>
          <w:lang w:eastAsia="hr-HR"/>
        </w:rPr>
      </w:pPr>
    </w:p>
    <w:p w14:paraId="70FB8AB1" w14:textId="77777777" w:rsidR="00725F1B" w:rsidRDefault="00725F1B" w:rsidP="00D27095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OBRAZLOŽENJE OPĆEG DIJELA</w:t>
      </w:r>
    </w:p>
    <w:p w14:paraId="6EE55224" w14:textId="77777777" w:rsidR="00AE059A" w:rsidRDefault="00AE059A" w:rsidP="00D27095">
      <w:pPr>
        <w:pStyle w:val="Standard"/>
        <w:spacing w:line="360" w:lineRule="auto"/>
        <w:jc w:val="both"/>
        <w:rPr>
          <w:b/>
          <w:u w:val="single"/>
        </w:rPr>
      </w:pPr>
    </w:p>
    <w:p w14:paraId="35E3D8A5" w14:textId="6E8D1042" w:rsidR="00725F1B" w:rsidRPr="00AE059A" w:rsidRDefault="00725F1B" w:rsidP="00CC0D0B">
      <w:pPr>
        <w:pStyle w:val="Standard"/>
        <w:spacing w:line="360" w:lineRule="auto"/>
        <w:jc w:val="center"/>
        <w:rPr>
          <w:b/>
          <w:bCs/>
        </w:rPr>
      </w:pPr>
      <w:r w:rsidRPr="00AE059A">
        <w:rPr>
          <w:b/>
          <w:bCs/>
        </w:rPr>
        <w:t>Članak 1</w:t>
      </w:r>
      <w:r w:rsidR="00AE059A">
        <w:rPr>
          <w:b/>
          <w:bCs/>
        </w:rPr>
        <w:t>.</w:t>
      </w:r>
    </w:p>
    <w:p w14:paraId="37D7E229" w14:textId="1B2EF032" w:rsidR="00725F1B" w:rsidRDefault="00725F1B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  <w:r>
        <w:rPr>
          <w:lang w:eastAsia="hr-HR"/>
        </w:rPr>
        <w:t>U Financijskom planu Dječjeg vrtića Vojnić za 202</w:t>
      </w:r>
      <w:r w:rsidR="0062408D">
        <w:rPr>
          <w:lang w:eastAsia="hr-HR"/>
        </w:rPr>
        <w:t>4</w:t>
      </w:r>
      <w:r>
        <w:rPr>
          <w:lang w:eastAsia="hr-HR"/>
        </w:rPr>
        <w:t xml:space="preserve">. godinu </w:t>
      </w:r>
      <w:r w:rsidR="009E32DA">
        <w:rPr>
          <w:lang w:eastAsia="hr-HR"/>
        </w:rPr>
        <w:t>,</w:t>
      </w:r>
      <w:r>
        <w:rPr>
          <w:lang w:eastAsia="hr-HR"/>
        </w:rPr>
        <w:t xml:space="preserve"> članak 1. mijenja se u dijelu koji se odnosi na 202</w:t>
      </w:r>
      <w:r w:rsidR="00B6443C">
        <w:rPr>
          <w:lang w:eastAsia="hr-HR"/>
        </w:rPr>
        <w:t>4</w:t>
      </w:r>
      <w:r>
        <w:rPr>
          <w:lang w:eastAsia="hr-HR"/>
        </w:rPr>
        <w:t xml:space="preserve">. godinu u A. Računu prihoda i rashoda i to kako </w:t>
      </w:r>
      <w:r w:rsidR="002679CB">
        <w:rPr>
          <w:lang w:eastAsia="hr-HR"/>
        </w:rPr>
        <w:t>slijedi</w:t>
      </w:r>
      <w:r>
        <w:rPr>
          <w:lang w:eastAsia="hr-HR"/>
        </w:rPr>
        <w:t>:</w:t>
      </w:r>
    </w:p>
    <w:p w14:paraId="66B8B926" w14:textId="77777777" w:rsidR="00873B8D" w:rsidRDefault="00873B8D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</w:p>
    <w:p w14:paraId="20689A70" w14:textId="2523B17D" w:rsidR="009C4F7C" w:rsidRPr="00133AB7" w:rsidRDefault="00725F1B" w:rsidP="00133AB7">
      <w:pPr>
        <w:pStyle w:val="Standard"/>
        <w:numPr>
          <w:ilvl w:val="0"/>
          <w:numId w:val="3"/>
        </w:numPr>
        <w:jc w:val="both"/>
        <w:rPr>
          <w:b/>
        </w:rPr>
      </w:pPr>
      <w:r w:rsidRPr="00772AEA">
        <w:rPr>
          <w:b/>
        </w:rPr>
        <w:t>RAČUN PRIHODA I RASHODA</w:t>
      </w:r>
    </w:p>
    <w:p w14:paraId="151CAA6C" w14:textId="77777777" w:rsidR="00725F1B" w:rsidRDefault="00725F1B" w:rsidP="00725F1B">
      <w:pPr>
        <w:pStyle w:val="Standard"/>
        <w:ind w:left="720"/>
        <w:jc w:val="both"/>
        <w:rPr>
          <w:b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9"/>
        <w:gridCol w:w="1843"/>
        <w:gridCol w:w="1417"/>
        <w:gridCol w:w="1418"/>
        <w:gridCol w:w="1417"/>
      </w:tblGrid>
      <w:tr w:rsidR="00725F1B" w14:paraId="777A5B94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B845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EA09" w14:textId="3DFC155B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PLANIRANO 202</w:t>
            </w:r>
            <w:r w:rsidR="0062408D">
              <w:rPr>
                <w:b/>
                <w:sz w:val="18"/>
                <w:szCs w:val="18"/>
              </w:rPr>
              <w:t>4</w:t>
            </w:r>
            <w:r w:rsidRPr="00E9111D">
              <w:rPr>
                <w:b/>
                <w:sz w:val="18"/>
                <w:szCs w:val="18"/>
              </w:rPr>
              <w:t>. GODINA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333D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POVEĆANJE/SMANJENJE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6814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499" w14:textId="081CB63D" w:rsidR="00725F1B" w:rsidRPr="00E9111D" w:rsidRDefault="0045092F" w:rsidP="0084612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725F1B">
              <w:rPr>
                <w:b/>
                <w:sz w:val="18"/>
                <w:szCs w:val="18"/>
              </w:rPr>
              <w:t>. REBALANS 202</w:t>
            </w:r>
            <w:r w:rsidR="0062408D">
              <w:rPr>
                <w:b/>
                <w:sz w:val="18"/>
                <w:szCs w:val="18"/>
              </w:rPr>
              <w:t>4</w:t>
            </w:r>
            <w:r w:rsidR="00725F1B" w:rsidRPr="00E9111D">
              <w:rPr>
                <w:b/>
                <w:sz w:val="18"/>
                <w:szCs w:val="18"/>
              </w:rPr>
              <w:t>. GODINA</w:t>
            </w:r>
          </w:p>
        </w:tc>
      </w:tr>
      <w:tr w:rsidR="00775C48" w14:paraId="6F3D8EDB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227B" w14:textId="77777777" w:rsidR="00775C48" w:rsidRPr="00AA13C6" w:rsidRDefault="00775C48" w:rsidP="00775C48">
            <w:pPr>
              <w:pStyle w:val="Standard"/>
              <w:jc w:val="both"/>
            </w:pPr>
            <w:r w:rsidRPr="00AA13C6">
              <w:t>Prihodi poslovanja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A585" w14:textId="7F0EB5A4" w:rsidR="00775C48" w:rsidRPr="00AA13C6" w:rsidRDefault="00775C48" w:rsidP="00775C48">
            <w:pPr>
              <w:pStyle w:val="Standard"/>
              <w:jc w:val="center"/>
            </w:pPr>
            <w:r w:rsidRPr="00AA13C6">
              <w:t>238.500,00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B2D" w14:textId="462A193D" w:rsidR="00775C48" w:rsidRPr="00AA13C6" w:rsidRDefault="00775C48" w:rsidP="00775C48">
            <w:pPr>
              <w:pStyle w:val="Standard"/>
              <w:jc w:val="center"/>
            </w:pPr>
            <w:r w:rsidRPr="00AA13C6">
              <w:t>37.800,00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A1B5" w14:textId="0891350E" w:rsidR="00775C48" w:rsidRPr="00AA13C6" w:rsidRDefault="00775C48" w:rsidP="00775C48">
            <w:pPr>
              <w:pStyle w:val="Standard"/>
              <w:jc w:val="center"/>
            </w:pPr>
            <w:r w:rsidRPr="00AA13C6">
              <w:t>15.8%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A054" w14:textId="1AD16048" w:rsidR="00775C48" w:rsidRPr="00AA13C6" w:rsidRDefault="00775C48" w:rsidP="00775C48">
            <w:pPr>
              <w:pStyle w:val="Standard"/>
              <w:jc w:val="center"/>
            </w:pPr>
            <w:r w:rsidRPr="00AA13C6">
              <w:t>276.300,00</w:t>
            </w:r>
          </w:p>
        </w:tc>
      </w:tr>
      <w:tr w:rsidR="00775C48" w14:paraId="5D969090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4752" w14:textId="714D9CD4" w:rsidR="00775C48" w:rsidRPr="00AA13C6" w:rsidRDefault="00775C48" w:rsidP="00775C48">
            <w:pPr>
              <w:pStyle w:val="Standard"/>
              <w:jc w:val="both"/>
            </w:pPr>
            <w:r w:rsidRPr="00AA13C6">
              <w:t>Prihodi od prodaje nefinancijske imovine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CDA8" w14:textId="77777777" w:rsidR="00775C48" w:rsidRPr="00AA13C6" w:rsidRDefault="00775C48" w:rsidP="00775C48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A111" w14:textId="31DBDD63" w:rsidR="00775C48" w:rsidRPr="00AA13C6" w:rsidRDefault="00775C48" w:rsidP="00775C48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C68B" w14:textId="686E65FE" w:rsidR="00775C48" w:rsidRPr="00AA13C6" w:rsidRDefault="00775C48" w:rsidP="00775C48">
            <w:pPr>
              <w:pStyle w:val="Standard"/>
              <w:jc w:val="center"/>
            </w:pPr>
            <w:r w:rsidRPr="00AA13C6">
              <w:t>0,0%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9345" w14:textId="684D9964" w:rsidR="00775C48" w:rsidRPr="00AA13C6" w:rsidRDefault="00775C48" w:rsidP="00775C48">
            <w:pPr>
              <w:pStyle w:val="Standard"/>
              <w:jc w:val="center"/>
            </w:pPr>
            <w:r w:rsidRPr="00AA13C6">
              <w:t>0,00</w:t>
            </w:r>
          </w:p>
        </w:tc>
      </w:tr>
      <w:tr w:rsidR="00775C48" w14:paraId="5BD71EF7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DA0" w14:textId="77777777" w:rsidR="00775C48" w:rsidRPr="00AA13C6" w:rsidRDefault="00775C48" w:rsidP="00775C48">
            <w:pPr>
              <w:pStyle w:val="Standard"/>
              <w:jc w:val="both"/>
            </w:pPr>
            <w:r w:rsidRPr="00AA13C6">
              <w:t>Rashodi poslovanja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0BF" w14:textId="25B5610C" w:rsidR="00775C48" w:rsidRPr="00AA13C6" w:rsidRDefault="00775C48" w:rsidP="00775C48">
            <w:pPr>
              <w:pStyle w:val="Standard"/>
              <w:jc w:val="center"/>
            </w:pPr>
            <w:r w:rsidRPr="00AA13C6">
              <w:t>234.000,00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BF56" w14:textId="6F11FD0B" w:rsidR="00775C48" w:rsidRPr="00AA13C6" w:rsidRDefault="00775C48" w:rsidP="00775C48">
            <w:pPr>
              <w:pStyle w:val="Standard"/>
              <w:jc w:val="center"/>
            </w:pPr>
            <w:r w:rsidRPr="00AA13C6">
              <w:t>37.800,00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18D0" w14:textId="5C3E25E9" w:rsidR="00775C48" w:rsidRPr="00AA13C6" w:rsidRDefault="00775C48" w:rsidP="00775C48">
            <w:pPr>
              <w:pStyle w:val="Standard"/>
              <w:jc w:val="center"/>
            </w:pPr>
            <w:r w:rsidRPr="00AA13C6">
              <w:t>16.2%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3D8" w14:textId="057F7127" w:rsidR="00775C48" w:rsidRPr="00AA13C6" w:rsidRDefault="00775C48" w:rsidP="00775C48">
            <w:pPr>
              <w:pStyle w:val="Standard"/>
              <w:jc w:val="center"/>
            </w:pPr>
            <w:r w:rsidRPr="00AA13C6">
              <w:t>2</w:t>
            </w:r>
            <w:r w:rsidR="00794A66">
              <w:t>7</w:t>
            </w:r>
            <w:r w:rsidRPr="00AA13C6">
              <w:t>1.800,00</w:t>
            </w:r>
          </w:p>
        </w:tc>
      </w:tr>
      <w:tr w:rsidR="00775C48" w14:paraId="443F973E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E057" w14:textId="77777777" w:rsidR="00775C48" w:rsidRPr="00AA13C6" w:rsidRDefault="00775C48" w:rsidP="00775C48">
            <w:pPr>
              <w:pStyle w:val="Standard"/>
              <w:jc w:val="both"/>
            </w:pPr>
            <w:r w:rsidRPr="00AA13C6"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580D" w14:textId="3489DBC3" w:rsidR="00775C48" w:rsidRPr="00AA13C6" w:rsidRDefault="00775C48" w:rsidP="00775C48">
            <w:pPr>
              <w:pStyle w:val="Standard"/>
              <w:jc w:val="center"/>
            </w:pPr>
            <w:r w:rsidRPr="00AA13C6">
              <w:t>10.000,00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BA86" w14:textId="5DF89E4E" w:rsidR="00775C48" w:rsidRPr="00AA13C6" w:rsidRDefault="00775C48" w:rsidP="00775C48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6B51" w14:textId="4FF1AD65" w:rsidR="00775C48" w:rsidRPr="00AA13C6" w:rsidRDefault="00775C48" w:rsidP="00775C48">
            <w:pPr>
              <w:pStyle w:val="Standard"/>
              <w:jc w:val="center"/>
            </w:pPr>
            <w:r w:rsidRPr="00AA13C6">
              <w:t>0.0%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C496" w14:textId="632A31AD" w:rsidR="00775C48" w:rsidRPr="00AA13C6" w:rsidRDefault="00775C48" w:rsidP="00775C48">
            <w:pPr>
              <w:pStyle w:val="Standard"/>
              <w:jc w:val="center"/>
            </w:pPr>
            <w:r w:rsidRPr="00AA13C6">
              <w:t>10.000,00</w:t>
            </w:r>
          </w:p>
        </w:tc>
      </w:tr>
      <w:tr w:rsidR="00775C48" w14:paraId="205D312D" w14:textId="77777777" w:rsidTr="00846129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FCD0" w14:textId="1D356459" w:rsidR="00775C48" w:rsidRPr="00AA13C6" w:rsidRDefault="00775C48" w:rsidP="00775C48">
            <w:pPr>
              <w:pStyle w:val="Standard"/>
              <w:jc w:val="both"/>
            </w:pPr>
            <w:r w:rsidRPr="00AA13C6">
              <w:t>RAZLIKA-VIŠAK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8DA" w14:textId="73405EAC" w:rsidR="00775C48" w:rsidRPr="00AA13C6" w:rsidRDefault="00794A66" w:rsidP="00775C48">
            <w:pPr>
              <w:pStyle w:val="Standard"/>
              <w:jc w:val="center"/>
            </w:pPr>
            <w:r>
              <w:t>-</w:t>
            </w:r>
            <w:r w:rsidR="00775C48" w:rsidRPr="00AA13C6">
              <w:t>5.500,00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A59D" w14:textId="4D4FFD31" w:rsidR="00775C48" w:rsidRPr="00AA13C6" w:rsidRDefault="00775C48" w:rsidP="00775C48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3999" w14:textId="76940905" w:rsidR="00775C48" w:rsidRPr="00AA13C6" w:rsidRDefault="00775C48" w:rsidP="00775C48">
            <w:pPr>
              <w:pStyle w:val="Standard"/>
              <w:jc w:val="center"/>
            </w:pPr>
            <w:r w:rsidRPr="00AA13C6">
              <w:t>0.0%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79F3" w14:textId="077CD10B" w:rsidR="00775C48" w:rsidRPr="00AA13C6" w:rsidRDefault="00794A66" w:rsidP="00775C48">
            <w:pPr>
              <w:pStyle w:val="Standard"/>
              <w:jc w:val="center"/>
            </w:pPr>
            <w:r>
              <w:t>-</w:t>
            </w:r>
            <w:r w:rsidR="00775C48" w:rsidRPr="00AA13C6">
              <w:t>5.500,00</w:t>
            </w:r>
          </w:p>
        </w:tc>
      </w:tr>
    </w:tbl>
    <w:p w14:paraId="411367BB" w14:textId="77777777" w:rsidR="00B3344F" w:rsidRDefault="00B3344F" w:rsidP="00AE3980">
      <w:pPr>
        <w:pStyle w:val="Standard"/>
        <w:jc w:val="both"/>
        <w:rPr>
          <w:bCs/>
        </w:rPr>
      </w:pPr>
    </w:p>
    <w:p w14:paraId="3E7CAF15" w14:textId="77777777" w:rsidR="009C4F7C" w:rsidRDefault="009C4F7C" w:rsidP="00AE3980">
      <w:pPr>
        <w:pStyle w:val="Standard"/>
        <w:jc w:val="both"/>
        <w:rPr>
          <w:bCs/>
        </w:rPr>
      </w:pPr>
    </w:p>
    <w:p w14:paraId="62355D46" w14:textId="3EE2E396" w:rsidR="00283146" w:rsidRDefault="00AE3980" w:rsidP="00283146">
      <w:pPr>
        <w:pStyle w:val="Standard"/>
        <w:numPr>
          <w:ilvl w:val="0"/>
          <w:numId w:val="3"/>
        </w:numPr>
        <w:jc w:val="both"/>
        <w:rPr>
          <w:b/>
        </w:rPr>
      </w:pPr>
      <w:r w:rsidRPr="009A0384">
        <w:rPr>
          <w:b/>
        </w:rPr>
        <w:lastRenderedPageBreak/>
        <w:t>RAČUN ZADUŽIVANJA / FINANCIRANJE</w:t>
      </w:r>
    </w:p>
    <w:p w14:paraId="3D25F6BE" w14:textId="77777777" w:rsidR="009C4F7C" w:rsidRPr="009A0384" w:rsidRDefault="009C4F7C" w:rsidP="009C4F7C">
      <w:pPr>
        <w:pStyle w:val="Standard"/>
        <w:ind w:left="720"/>
        <w:jc w:val="both"/>
        <w:rPr>
          <w:b/>
        </w:rPr>
      </w:pPr>
    </w:p>
    <w:p w14:paraId="4569D7ED" w14:textId="77777777" w:rsidR="004F0722" w:rsidRDefault="004F0722" w:rsidP="004F0722">
      <w:pPr>
        <w:pStyle w:val="Standard"/>
        <w:ind w:left="720"/>
        <w:jc w:val="both"/>
        <w:rPr>
          <w:b/>
          <w:u w:val="single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25"/>
        <w:gridCol w:w="1483"/>
        <w:gridCol w:w="1483"/>
        <w:gridCol w:w="1536"/>
        <w:gridCol w:w="1649"/>
      </w:tblGrid>
      <w:tr w:rsidR="00CC0D0B" w14:paraId="44E5DBAE" w14:textId="77777777" w:rsidTr="00CC0D0B">
        <w:tc>
          <w:tcPr>
            <w:tcW w:w="2830" w:type="dxa"/>
          </w:tcPr>
          <w:p w14:paraId="176BC37B" w14:textId="1EE9C150" w:rsidR="00CC0D0B" w:rsidRPr="00283146" w:rsidRDefault="00CC0D0B" w:rsidP="004F0722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Primici od financijske imovine i zaduživanja</w:t>
            </w:r>
          </w:p>
        </w:tc>
        <w:tc>
          <w:tcPr>
            <w:tcW w:w="1701" w:type="dxa"/>
          </w:tcPr>
          <w:p w14:paraId="38D914E4" w14:textId="77777777" w:rsidR="00CC0D0B" w:rsidRPr="004F0722" w:rsidRDefault="00CC0D0B" w:rsidP="004F0722">
            <w:pPr>
              <w:pStyle w:val="Standard"/>
              <w:jc w:val="center"/>
              <w:rPr>
                <w:bCs/>
              </w:rPr>
            </w:pPr>
            <w:r w:rsidRPr="004F0722">
              <w:rPr>
                <w:bCs/>
              </w:rPr>
              <w:t>0,00</w:t>
            </w:r>
          </w:p>
          <w:p w14:paraId="1C370BBE" w14:textId="789ADFDD" w:rsidR="00CC0D0B" w:rsidRPr="004F0722" w:rsidRDefault="00CC0D0B" w:rsidP="004F0722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6B55A4D1" w14:textId="77777777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 w:rsidRPr="004F0722">
              <w:rPr>
                <w:bCs/>
              </w:rPr>
              <w:t>0,00</w:t>
            </w:r>
          </w:p>
          <w:p w14:paraId="4A8C92CA" w14:textId="77777777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6CA4B7F" w14:textId="47914350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  <w:tc>
          <w:tcPr>
            <w:tcW w:w="1843" w:type="dxa"/>
          </w:tcPr>
          <w:p w14:paraId="19BF07F4" w14:textId="56039774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</w:tr>
      <w:tr w:rsidR="00CC0D0B" w14:paraId="56CA810C" w14:textId="77777777" w:rsidTr="00CC0D0B">
        <w:tc>
          <w:tcPr>
            <w:tcW w:w="2830" w:type="dxa"/>
          </w:tcPr>
          <w:p w14:paraId="41298CC2" w14:textId="1F7A33E5" w:rsidR="00CC0D0B" w:rsidRPr="00997514" w:rsidRDefault="00997514" w:rsidP="004F0722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Izdaci za financijsku imovinu i otplate zajmova</w:t>
            </w:r>
          </w:p>
        </w:tc>
        <w:tc>
          <w:tcPr>
            <w:tcW w:w="1701" w:type="dxa"/>
          </w:tcPr>
          <w:p w14:paraId="7209D38D" w14:textId="2443C842" w:rsidR="00CC0D0B" w:rsidRPr="004F0722" w:rsidRDefault="00CC0D0B" w:rsidP="004F0722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</w:tcPr>
          <w:p w14:paraId="1DC1AA0C" w14:textId="4FA0C9A8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</w:tcPr>
          <w:p w14:paraId="7E05C9B2" w14:textId="0DA09E10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  <w:tc>
          <w:tcPr>
            <w:tcW w:w="1843" w:type="dxa"/>
          </w:tcPr>
          <w:p w14:paraId="3F17AD12" w14:textId="62D61208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</w:tr>
      <w:tr w:rsidR="00CC0D0B" w14:paraId="07C0F71F" w14:textId="77777777" w:rsidTr="00CC0D0B">
        <w:tc>
          <w:tcPr>
            <w:tcW w:w="2830" w:type="dxa"/>
          </w:tcPr>
          <w:p w14:paraId="31C581DA" w14:textId="64B0BE31" w:rsidR="00CC0D0B" w:rsidRPr="00997514" w:rsidRDefault="00997514" w:rsidP="004F0722">
            <w:pPr>
              <w:pStyle w:val="Standard"/>
              <w:jc w:val="both"/>
              <w:rPr>
                <w:bCs/>
              </w:rPr>
            </w:pPr>
            <w:r w:rsidRPr="00997514">
              <w:rPr>
                <w:bCs/>
              </w:rPr>
              <w:t>NETO ZADUŽIVANJE/FINANCIRANJE</w:t>
            </w:r>
          </w:p>
        </w:tc>
        <w:tc>
          <w:tcPr>
            <w:tcW w:w="1701" w:type="dxa"/>
          </w:tcPr>
          <w:p w14:paraId="01134F88" w14:textId="17E6DE9F" w:rsidR="00CC0D0B" w:rsidRPr="004F0722" w:rsidRDefault="00CC0D0B" w:rsidP="004F0722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</w:tcPr>
          <w:p w14:paraId="44EC9421" w14:textId="666502E0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</w:tcPr>
          <w:p w14:paraId="5CDEC4E2" w14:textId="65DC7865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  <w:tc>
          <w:tcPr>
            <w:tcW w:w="1843" w:type="dxa"/>
          </w:tcPr>
          <w:p w14:paraId="6933FFF2" w14:textId="497EB564" w:rsidR="00CC0D0B" w:rsidRPr="004F0722" w:rsidRDefault="00CC0D0B" w:rsidP="00CC0D0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0,00 %</w:t>
            </w:r>
          </w:p>
        </w:tc>
      </w:tr>
    </w:tbl>
    <w:p w14:paraId="3C11FBC3" w14:textId="77777777" w:rsidR="009A0384" w:rsidRDefault="009A0384" w:rsidP="00725F1B">
      <w:pPr>
        <w:pStyle w:val="Standard"/>
        <w:jc w:val="both"/>
        <w:rPr>
          <w:b/>
        </w:rPr>
      </w:pPr>
    </w:p>
    <w:p w14:paraId="50027FC7" w14:textId="77777777" w:rsidR="009C4F7C" w:rsidRDefault="009C4F7C" w:rsidP="00725F1B">
      <w:pPr>
        <w:pStyle w:val="Standard"/>
        <w:jc w:val="both"/>
        <w:rPr>
          <w:b/>
        </w:rPr>
      </w:pPr>
    </w:p>
    <w:p w14:paraId="31546BCE" w14:textId="3DF06F9A" w:rsidR="00725F1B" w:rsidRDefault="00725F1B" w:rsidP="009C4F7C">
      <w:pPr>
        <w:pStyle w:val="Standard"/>
        <w:numPr>
          <w:ilvl w:val="0"/>
          <w:numId w:val="3"/>
        </w:numPr>
        <w:jc w:val="both"/>
        <w:rPr>
          <w:b/>
        </w:rPr>
      </w:pPr>
      <w:r>
        <w:rPr>
          <w:b/>
        </w:rPr>
        <w:t>RASPOLOŽIVA SREDSTVA IZ PRETHODNIH GODINA (</w:t>
      </w:r>
      <w:r w:rsidR="00D66D0B">
        <w:rPr>
          <w:b/>
        </w:rPr>
        <w:t>VIŠAK</w:t>
      </w:r>
      <w:r>
        <w:rPr>
          <w:b/>
        </w:rPr>
        <w:t xml:space="preserve"> PRIHODA I REZERVIRANJA)</w:t>
      </w:r>
    </w:p>
    <w:p w14:paraId="66D614FF" w14:textId="77777777" w:rsidR="009C4F7C" w:rsidRDefault="009C4F7C" w:rsidP="009C4F7C">
      <w:pPr>
        <w:pStyle w:val="Standard"/>
        <w:ind w:left="720"/>
        <w:jc w:val="both"/>
        <w:rPr>
          <w:b/>
        </w:rPr>
      </w:pPr>
    </w:p>
    <w:p w14:paraId="40363766" w14:textId="77777777" w:rsidR="00AE059A" w:rsidRDefault="00AE059A" w:rsidP="00725F1B">
      <w:pPr>
        <w:pStyle w:val="Standard"/>
        <w:jc w:val="both"/>
        <w:rPr>
          <w:b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5A3BCE" w:rsidRPr="00AA13C6" w14:paraId="26C53855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8505" w14:textId="4CAB673A" w:rsidR="005A3BCE" w:rsidRPr="00AA13C6" w:rsidRDefault="005A3BCE" w:rsidP="005A3BCE">
            <w:pPr>
              <w:pStyle w:val="Standard"/>
              <w:jc w:val="both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D9B8" w14:textId="322113C0" w:rsidR="005A3BCE" w:rsidRPr="00AA13C6" w:rsidRDefault="005A3BCE" w:rsidP="005A3BCE">
            <w:pPr>
              <w:pStyle w:val="Standard"/>
              <w:jc w:val="center"/>
            </w:pPr>
            <w:r w:rsidRPr="00AA13C6">
              <w:t>5.5</w:t>
            </w:r>
            <w:r w:rsidR="00096748">
              <w:t>00</w:t>
            </w:r>
            <w:r w:rsidRPr="00AA13C6">
              <w:t>,</w:t>
            </w:r>
            <w:r w:rsidR="00096748">
              <w:t>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DEE" w14:textId="1F36B6D6" w:rsidR="005A3BCE" w:rsidRPr="00AA13C6" w:rsidRDefault="005A3BCE" w:rsidP="005A3BCE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577E" w14:textId="5150FCD9" w:rsidR="005A3BCE" w:rsidRPr="00AA13C6" w:rsidRDefault="005A3BCE" w:rsidP="005A3BCE">
            <w:pPr>
              <w:pStyle w:val="Standard"/>
              <w:jc w:val="center"/>
            </w:pPr>
            <w:r w:rsidRPr="00AA13C6">
              <w:t>0,00%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4321" w14:textId="170D60C9" w:rsidR="005A3BCE" w:rsidRPr="00AA13C6" w:rsidRDefault="005A3BCE" w:rsidP="005A3BCE">
            <w:pPr>
              <w:pStyle w:val="Standard"/>
              <w:jc w:val="center"/>
            </w:pPr>
            <w:r w:rsidRPr="00AA13C6">
              <w:t>5.5</w:t>
            </w:r>
            <w:r w:rsidR="00096748">
              <w:t>00</w:t>
            </w:r>
            <w:r w:rsidRPr="00AA13C6">
              <w:t>,</w:t>
            </w:r>
            <w:r w:rsidR="00096748">
              <w:t>00</w:t>
            </w:r>
          </w:p>
        </w:tc>
      </w:tr>
    </w:tbl>
    <w:p w14:paraId="770EEBB8" w14:textId="77777777" w:rsidR="00725F1B" w:rsidRPr="00AA13C6" w:rsidRDefault="00725F1B" w:rsidP="00725F1B">
      <w:pPr>
        <w:pStyle w:val="Standard"/>
        <w:jc w:val="both"/>
        <w:rPr>
          <w:b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725F1B" w14:paraId="65D980C6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DFB1" w14:textId="77777777" w:rsidR="00725F1B" w:rsidRPr="00AA13C6" w:rsidRDefault="00725F1B" w:rsidP="000076C6">
            <w:pPr>
              <w:pStyle w:val="Standard"/>
              <w:jc w:val="both"/>
            </w:pPr>
            <w:r w:rsidRPr="00AA13C6">
              <w:t>Višak/</w:t>
            </w:r>
            <w:proofErr w:type="spellStart"/>
            <w:r w:rsidRPr="00AA13C6">
              <w:t>manjak+neto</w:t>
            </w:r>
            <w:proofErr w:type="spellEnd"/>
            <w:r w:rsidRPr="00AA13C6">
              <w:t xml:space="preserve"> </w:t>
            </w:r>
            <w:proofErr w:type="spellStart"/>
            <w:r w:rsidRPr="00AA13C6">
              <w:t>zaduživaja</w:t>
            </w:r>
            <w:proofErr w:type="spellEnd"/>
            <w:r w:rsidRPr="00AA13C6">
              <w:t>/</w:t>
            </w:r>
            <w:proofErr w:type="spellStart"/>
            <w:r w:rsidRPr="00AA13C6">
              <w:t>financiranja+raspoloživa</w:t>
            </w:r>
            <w:proofErr w:type="spellEnd"/>
            <w:r w:rsidRPr="00AA13C6">
              <w:t xml:space="preserve"> sredstva iz prethodnih godina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47DE" w14:textId="325CFBF1" w:rsidR="00725F1B" w:rsidRPr="00AA13C6" w:rsidRDefault="00F86EF9" w:rsidP="00834D4F">
            <w:pPr>
              <w:pStyle w:val="Standard"/>
              <w:jc w:val="center"/>
            </w:pPr>
            <w:r>
              <w:t xml:space="preserve">     </w:t>
            </w:r>
            <w:r w:rsidR="00725F1B" w:rsidRPr="00AA13C6"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DCD3" w14:textId="5C8D3104" w:rsidR="00725F1B" w:rsidRPr="00AA13C6" w:rsidRDefault="004D24F6" w:rsidP="00834D4F">
            <w:pPr>
              <w:pStyle w:val="Standard"/>
              <w:jc w:val="center"/>
            </w:pPr>
            <w:r w:rsidRPr="00AA13C6"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67F1" w14:textId="68DB2376" w:rsidR="00725F1B" w:rsidRPr="00AA13C6" w:rsidRDefault="00725F1B" w:rsidP="00834D4F">
            <w:pPr>
              <w:pStyle w:val="Standard"/>
              <w:jc w:val="center"/>
            </w:pPr>
            <w:r w:rsidRPr="00AA13C6">
              <w:t>0,0</w:t>
            </w:r>
            <w:r w:rsidR="004D24F6" w:rsidRPr="00AA13C6">
              <w:t>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417F" w14:textId="629AE443" w:rsidR="00725F1B" w:rsidRPr="00AA13C6" w:rsidRDefault="00F86EF9" w:rsidP="00834D4F">
            <w:pPr>
              <w:pStyle w:val="Standard"/>
              <w:jc w:val="center"/>
            </w:pPr>
            <w:r>
              <w:t xml:space="preserve">      </w:t>
            </w:r>
            <w:r w:rsidR="00725F1B" w:rsidRPr="00AA13C6">
              <w:t>0,00</w:t>
            </w:r>
          </w:p>
        </w:tc>
      </w:tr>
    </w:tbl>
    <w:p w14:paraId="642E0B63" w14:textId="77777777" w:rsidR="00725F1B" w:rsidRDefault="00725F1B" w:rsidP="00725F1B">
      <w:pPr>
        <w:pStyle w:val="Standard"/>
        <w:ind w:left="720"/>
        <w:rPr>
          <w:u w:val="single"/>
        </w:rPr>
      </w:pPr>
    </w:p>
    <w:p w14:paraId="0CDC6878" w14:textId="77777777" w:rsidR="009A0384" w:rsidRDefault="009A0384" w:rsidP="00725F1B">
      <w:pPr>
        <w:pStyle w:val="Standard"/>
        <w:ind w:left="720"/>
        <w:rPr>
          <w:u w:val="single"/>
        </w:rPr>
      </w:pPr>
    </w:p>
    <w:p w14:paraId="6DD58B59" w14:textId="6FCABF44" w:rsidR="00725F1B" w:rsidRPr="009A0384" w:rsidRDefault="00725F1B" w:rsidP="009A0384">
      <w:pPr>
        <w:pStyle w:val="Standard"/>
        <w:spacing w:line="360" w:lineRule="auto"/>
        <w:ind w:left="720"/>
        <w:jc w:val="center"/>
        <w:rPr>
          <w:b/>
          <w:bCs/>
        </w:rPr>
      </w:pPr>
      <w:r w:rsidRPr="009A0384">
        <w:rPr>
          <w:b/>
          <w:bCs/>
        </w:rPr>
        <w:t>Članak 2</w:t>
      </w:r>
      <w:r w:rsidR="009A0384">
        <w:rPr>
          <w:b/>
          <w:bCs/>
        </w:rPr>
        <w:t>.</w:t>
      </w:r>
    </w:p>
    <w:p w14:paraId="2885E2FF" w14:textId="3E9F114B" w:rsidR="009E4E85" w:rsidRDefault="00725F1B" w:rsidP="009E4E85">
      <w:pPr>
        <w:pStyle w:val="Standard"/>
        <w:spacing w:line="360" w:lineRule="auto"/>
        <w:ind w:left="142" w:firstLine="218"/>
        <w:jc w:val="both"/>
      </w:pPr>
      <w:r w:rsidRPr="00A208A1">
        <w:t>U članku 2. Financijskog plana prihodi i rashodi te primici i izdaci po ekonomskoj klasifikaciji utvrđeni u Računu prihoda i rashoda i Računu financiranja, mijenjaju se</w:t>
      </w:r>
      <w:r>
        <w:t xml:space="preserve"> u dijelu koji se odnosi na 202</w:t>
      </w:r>
      <w:r w:rsidR="00F86EF9">
        <w:t>4</w:t>
      </w:r>
      <w:r w:rsidRPr="00A208A1">
        <w:t>.</w:t>
      </w:r>
      <w:r w:rsidR="00F86EF9">
        <w:t xml:space="preserve"> </w:t>
      </w:r>
      <w:r w:rsidRPr="00A208A1">
        <w:t>godinu, kako slijedi:</w:t>
      </w:r>
    </w:p>
    <w:p w14:paraId="52C5F863" w14:textId="77777777" w:rsidR="009E4E85" w:rsidRPr="00A208A1" w:rsidRDefault="009E4E85" w:rsidP="00D27095">
      <w:pPr>
        <w:pStyle w:val="Standard"/>
        <w:spacing w:line="360" w:lineRule="auto"/>
        <w:ind w:left="142" w:firstLine="218"/>
        <w:jc w:val="both"/>
      </w:pPr>
    </w:p>
    <w:p w14:paraId="0F12723E" w14:textId="77777777" w:rsidR="00725F1B" w:rsidRDefault="00725F1B" w:rsidP="00725F1B">
      <w:pPr>
        <w:pStyle w:val="Standard"/>
        <w:numPr>
          <w:ilvl w:val="0"/>
          <w:numId w:val="4"/>
        </w:numPr>
        <w:jc w:val="both"/>
        <w:rPr>
          <w:b/>
        </w:rPr>
      </w:pPr>
      <w:r>
        <w:rPr>
          <w:b/>
        </w:rPr>
        <w:t>PRIHODI I PRIMICI</w:t>
      </w:r>
    </w:p>
    <w:p w14:paraId="2FE29349" w14:textId="77777777" w:rsidR="009C4F7C" w:rsidRDefault="009C4F7C" w:rsidP="009C4F7C">
      <w:pPr>
        <w:pStyle w:val="Standard"/>
        <w:ind w:left="720"/>
        <w:jc w:val="both"/>
        <w:rPr>
          <w:b/>
        </w:rPr>
      </w:pPr>
    </w:p>
    <w:p w14:paraId="51B55E1C" w14:textId="77777777" w:rsidR="00725F1B" w:rsidRDefault="00725F1B" w:rsidP="00725F1B">
      <w:pPr>
        <w:pStyle w:val="Standard"/>
        <w:jc w:val="both"/>
        <w:rPr>
          <w:b/>
        </w:rPr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59"/>
        <w:gridCol w:w="1571"/>
        <w:gridCol w:w="1405"/>
        <w:gridCol w:w="1421"/>
      </w:tblGrid>
      <w:tr w:rsidR="00725F1B" w14:paraId="274EDACB" w14:textId="77777777" w:rsidTr="00EA31F1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82ABE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KONTA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C9B4F" w14:textId="77777777" w:rsidR="00725F1B" w:rsidRPr="00096748" w:rsidRDefault="00725F1B" w:rsidP="000076C6">
            <w:pPr>
              <w:pStyle w:val="Standard"/>
              <w:jc w:val="center"/>
            </w:pPr>
            <w:r w:rsidRPr="00096748">
              <w:t>VRSTA PRIHODA / PRIMITAKA</w:t>
            </w:r>
          </w:p>
          <w:p w14:paraId="2C9EE8D6" w14:textId="77777777" w:rsidR="00725F1B" w:rsidRPr="00096748" w:rsidRDefault="00725F1B" w:rsidP="000076C6">
            <w:pPr>
              <w:pStyle w:val="Standard"/>
              <w:jc w:val="center"/>
            </w:pPr>
            <w:r w:rsidRPr="00096748">
              <w:t>VRSTA RASHODA / IZDATAKA</w:t>
            </w:r>
          </w:p>
          <w:p w14:paraId="675729FD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2BD5B" w14:textId="77777777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</w:t>
            </w:r>
          </w:p>
          <w:p w14:paraId="1C571BDC" w14:textId="795199BC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C6B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8B8E" w14:textId="77777777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AAF1C" w14:textId="77777777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CADEC" w14:textId="4A83BFED" w:rsidR="00725F1B" w:rsidRDefault="0045092F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="00725F1B">
              <w:rPr>
                <w:sz w:val="22"/>
                <w:szCs w:val="22"/>
              </w:rPr>
              <w:t>REBALANS</w:t>
            </w:r>
          </w:p>
          <w:p w14:paraId="1B490E2E" w14:textId="6FE20A69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C6B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GODINA</w:t>
            </w:r>
          </w:p>
          <w:p w14:paraId="5CB1AD36" w14:textId="77777777" w:rsidR="00725F1B" w:rsidRDefault="00725F1B" w:rsidP="0045092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47538A" w:rsidRPr="005D4100" w14:paraId="46BA253D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C5FFC" w14:textId="4C1B6537" w:rsidR="0047538A" w:rsidRPr="005D4100" w:rsidRDefault="0047538A" w:rsidP="0047538A">
            <w:pPr>
              <w:pStyle w:val="Standard"/>
              <w:jc w:val="both"/>
            </w:pPr>
            <w:r w:rsidRPr="000D681D">
              <w:t>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B0FE7" w14:textId="6A3EA75B" w:rsidR="0047538A" w:rsidRPr="005D4100" w:rsidRDefault="0047538A" w:rsidP="0047538A">
            <w:pPr>
              <w:pStyle w:val="Standard"/>
            </w:pPr>
            <w:r w:rsidRPr="000D681D">
              <w:t>Prihodi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DE416" w14:textId="072B1C2F" w:rsidR="0047538A" w:rsidRPr="005D4100" w:rsidRDefault="0047538A" w:rsidP="0047538A">
            <w:pPr>
              <w:pStyle w:val="Standard"/>
              <w:jc w:val="center"/>
            </w:pPr>
            <w:r w:rsidRPr="000D681D">
              <w:t>23</w:t>
            </w:r>
            <w:r w:rsidR="009F1CDD">
              <w:t>8</w:t>
            </w:r>
            <w:r w:rsidRPr="000D681D">
              <w:t>.</w:t>
            </w:r>
            <w:r w:rsidR="009F1CDD">
              <w:t>5</w:t>
            </w:r>
            <w:r w:rsidRPr="000D681D">
              <w:t>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411A9" w14:textId="4A9B913F" w:rsidR="0047538A" w:rsidRPr="005D4100" w:rsidRDefault="0047538A" w:rsidP="0047538A">
            <w:pPr>
              <w:pStyle w:val="Standard"/>
              <w:jc w:val="center"/>
            </w:pPr>
            <w:r w:rsidRPr="000D681D">
              <w:t>37.800,00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648EE" w14:textId="61B55694" w:rsidR="0047538A" w:rsidRPr="005D4100" w:rsidRDefault="0047538A" w:rsidP="0047538A">
            <w:pPr>
              <w:pStyle w:val="Standard"/>
              <w:jc w:val="center"/>
            </w:pPr>
            <w:r w:rsidRPr="000D681D">
              <w:t>15.8%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87F58" w14:textId="572A8666" w:rsidR="0047538A" w:rsidRPr="005D4100" w:rsidRDefault="0047538A" w:rsidP="0047538A">
            <w:pPr>
              <w:pStyle w:val="Standard"/>
              <w:jc w:val="center"/>
            </w:pPr>
            <w:r w:rsidRPr="000D681D">
              <w:t>2</w:t>
            </w:r>
            <w:r w:rsidR="00503132">
              <w:t>76</w:t>
            </w:r>
            <w:r w:rsidRPr="000D681D">
              <w:t>.</w:t>
            </w:r>
            <w:r w:rsidR="00503132">
              <w:t>3</w:t>
            </w:r>
            <w:r w:rsidRPr="000D681D">
              <w:t>00,00</w:t>
            </w:r>
          </w:p>
        </w:tc>
      </w:tr>
      <w:tr w:rsidR="0047538A" w14:paraId="6006BA80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37FEE" w14:textId="4C0E7F30" w:rsidR="0047538A" w:rsidRPr="005D4100" w:rsidRDefault="0047538A" w:rsidP="0047538A">
            <w:pPr>
              <w:pStyle w:val="Standard"/>
              <w:jc w:val="both"/>
              <w:rPr>
                <w:b/>
              </w:rPr>
            </w:pPr>
            <w:r w:rsidRPr="000D681D">
              <w:t>63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FC772" w14:textId="162C16B8" w:rsidR="0047538A" w:rsidRPr="005D4100" w:rsidRDefault="0047538A" w:rsidP="0047538A">
            <w:pPr>
              <w:pStyle w:val="Standard"/>
              <w:rPr>
                <w:b/>
              </w:rPr>
            </w:pPr>
            <w:r w:rsidRPr="000D681D">
              <w:t>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46E" w14:textId="53E55958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33.500,00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4D73B" w14:textId="6D4E33DF" w:rsidR="0047538A" w:rsidRPr="005D4100" w:rsidRDefault="0047538A" w:rsidP="0047538A">
            <w:pPr>
              <w:pStyle w:val="Standard"/>
              <w:jc w:val="center"/>
              <w:rPr>
                <w:b/>
              </w:rPr>
            </w:pPr>
            <w:r w:rsidRPr="000D681D">
              <w:t>-33.000,00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DC190" w14:textId="79821E11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-98.5%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75C24" w14:textId="17434BB6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500,00</w:t>
            </w:r>
          </w:p>
        </w:tc>
      </w:tr>
      <w:tr w:rsidR="0047538A" w14:paraId="435D5A3C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DB037" w14:textId="532C5ED7" w:rsidR="0047538A" w:rsidRPr="005D4100" w:rsidRDefault="0047538A" w:rsidP="0047538A">
            <w:pPr>
              <w:pStyle w:val="Standard"/>
              <w:jc w:val="both"/>
            </w:pPr>
            <w:r w:rsidRPr="000D681D">
              <w:t>64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2783" w14:textId="5EB6550A" w:rsidR="0047538A" w:rsidRPr="004A55EF" w:rsidRDefault="0047538A" w:rsidP="0047538A">
            <w:pPr>
              <w:pStyle w:val="Standard"/>
              <w:rPr>
                <w:sz w:val="22"/>
                <w:szCs w:val="22"/>
              </w:rPr>
            </w:pPr>
            <w:r w:rsidRPr="000D681D">
              <w:t>Prihodi od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EBE67" w14:textId="76131E83" w:rsidR="0047538A" w:rsidRPr="005D4100" w:rsidRDefault="0047538A" w:rsidP="0047538A">
            <w:pPr>
              <w:pStyle w:val="Standard"/>
              <w:jc w:val="center"/>
            </w:pPr>
            <w:r w:rsidRPr="000D681D">
              <w:t>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B723F" w14:textId="028A231F" w:rsidR="0047538A" w:rsidRPr="004C7476" w:rsidRDefault="0047538A" w:rsidP="0047538A">
            <w:pPr>
              <w:pStyle w:val="Standard"/>
              <w:jc w:val="center"/>
              <w:rPr>
                <w:bCs/>
              </w:rPr>
            </w:pPr>
            <w:r w:rsidRPr="000D681D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ACC67" w14:textId="186E52E2" w:rsidR="0047538A" w:rsidRPr="004C7476" w:rsidRDefault="0047538A" w:rsidP="0047538A">
            <w:pPr>
              <w:pStyle w:val="Standard"/>
              <w:jc w:val="center"/>
              <w:rPr>
                <w:bCs/>
              </w:rPr>
            </w:pPr>
            <w:r w:rsidRPr="000D681D">
              <w:t>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06C73" w14:textId="366D936D" w:rsidR="0047538A" w:rsidRPr="004C7476" w:rsidRDefault="0047538A" w:rsidP="0047538A">
            <w:pPr>
              <w:pStyle w:val="Standard"/>
              <w:jc w:val="center"/>
              <w:rPr>
                <w:bCs/>
              </w:rPr>
            </w:pPr>
            <w:r w:rsidRPr="000D681D">
              <w:t>0,00</w:t>
            </w:r>
          </w:p>
        </w:tc>
      </w:tr>
      <w:tr w:rsidR="0047538A" w14:paraId="01D52F66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B7D32" w14:textId="16C8894E" w:rsidR="0047538A" w:rsidRPr="005D4100" w:rsidRDefault="0047538A" w:rsidP="0047538A">
            <w:pPr>
              <w:pStyle w:val="Standard"/>
              <w:jc w:val="both"/>
            </w:pPr>
            <w:r w:rsidRPr="000D681D">
              <w:t>66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ED95B" w14:textId="39ABA13A" w:rsidR="0047538A" w:rsidRPr="004A55EF" w:rsidRDefault="0047538A" w:rsidP="0047538A">
            <w:pPr>
              <w:pStyle w:val="Standard"/>
              <w:rPr>
                <w:sz w:val="22"/>
                <w:szCs w:val="22"/>
              </w:rPr>
            </w:pPr>
            <w:r w:rsidRPr="000D681D">
              <w:t>Prihodi od prodaje proizvoda i robe te pruženih usluga i prihodi od donacija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54B01" w14:textId="3F263DF3" w:rsidR="0047538A" w:rsidRPr="005D4100" w:rsidRDefault="0047538A" w:rsidP="0047538A">
            <w:pPr>
              <w:pStyle w:val="Standard"/>
              <w:jc w:val="center"/>
            </w:pPr>
            <w:r w:rsidRPr="000D681D">
              <w:t>30.000,00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B421F" w14:textId="1DE497AB" w:rsidR="0047538A" w:rsidRPr="005D4100" w:rsidRDefault="0047538A" w:rsidP="0047538A">
            <w:pPr>
              <w:pStyle w:val="Standard"/>
              <w:jc w:val="center"/>
            </w:pPr>
            <w:r w:rsidRPr="000D681D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9A84" w14:textId="1159A716" w:rsidR="0047538A" w:rsidRPr="005D4100" w:rsidRDefault="0047538A" w:rsidP="0047538A">
            <w:pPr>
              <w:pStyle w:val="Standard"/>
              <w:jc w:val="center"/>
            </w:pPr>
            <w:r w:rsidRPr="000D681D">
              <w:t>0.0%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8B284" w14:textId="3C2384FA" w:rsidR="0047538A" w:rsidRPr="005D4100" w:rsidRDefault="0047538A" w:rsidP="0047538A">
            <w:pPr>
              <w:pStyle w:val="Standard"/>
              <w:jc w:val="center"/>
            </w:pPr>
            <w:r w:rsidRPr="000D681D">
              <w:t>30.000,00</w:t>
            </w:r>
          </w:p>
        </w:tc>
      </w:tr>
      <w:tr w:rsidR="0047538A" w14:paraId="63FB3CC5" w14:textId="77777777" w:rsidTr="003E338E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80D6E" w14:textId="5FD7C23F" w:rsidR="0047538A" w:rsidRPr="005D4100" w:rsidRDefault="0047538A" w:rsidP="0047538A">
            <w:pPr>
              <w:pStyle w:val="Standard"/>
              <w:jc w:val="both"/>
              <w:rPr>
                <w:b/>
              </w:rPr>
            </w:pPr>
            <w:r w:rsidRPr="000D681D">
              <w:t>67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829B5" w14:textId="0D685C82" w:rsidR="0047538A" w:rsidRPr="005D4100" w:rsidRDefault="0047538A" w:rsidP="0047538A">
            <w:pPr>
              <w:pStyle w:val="Standard"/>
              <w:rPr>
                <w:b/>
              </w:rPr>
            </w:pPr>
            <w:r w:rsidRPr="000D681D"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97BE1" w14:textId="7468F2F9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175.000,00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84EEF" w14:textId="611E5101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70.800,00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3450D" w14:textId="722E0A1B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40.5%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7F267" w14:textId="10F341D3" w:rsidR="0047538A" w:rsidRPr="005D4100" w:rsidRDefault="0047538A" w:rsidP="0047538A">
            <w:pPr>
              <w:jc w:val="center"/>
              <w:rPr>
                <w:b/>
              </w:rPr>
            </w:pPr>
            <w:r w:rsidRPr="000D681D">
              <w:t>245.800,00</w:t>
            </w:r>
          </w:p>
        </w:tc>
      </w:tr>
      <w:tr w:rsidR="004D5357" w14:paraId="759493DC" w14:textId="77777777" w:rsidTr="00503132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D19F8" w14:textId="4678637D" w:rsidR="004D5357" w:rsidRPr="000D681D" w:rsidRDefault="003E338E" w:rsidP="0047538A">
            <w:pPr>
              <w:pStyle w:val="Standard"/>
              <w:jc w:val="both"/>
            </w:pPr>
            <w:r>
              <w:t xml:space="preserve">9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A1B8F" w14:textId="7C714605" w:rsidR="004D5357" w:rsidRPr="000D681D" w:rsidRDefault="003E338E" w:rsidP="0047538A">
            <w:pPr>
              <w:pStyle w:val="Standard"/>
            </w:pPr>
            <w:r>
              <w:t>V</w:t>
            </w:r>
            <w:r w:rsidR="000E1612">
              <w:t>lastiti izvori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FF5F8" w14:textId="5A45D622" w:rsidR="004D5357" w:rsidRPr="000D681D" w:rsidRDefault="003339CE" w:rsidP="0047538A">
            <w:pPr>
              <w:jc w:val="center"/>
            </w:pPr>
            <w:r>
              <w:t>5.500,00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C0DB2" w14:textId="1CEE96CD" w:rsidR="004D5357" w:rsidRPr="000D681D" w:rsidRDefault="003339CE" w:rsidP="0047538A">
            <w:pPr>
              <w:jc w:val="center"/>
            </w:pPr>
            <w:r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6675E" w14:textId="7B1F3F93" w:rsidR="004D5357" w:rsidRPr="000D681D" w:rsidRDefault="003339CE" w:rsidP="0047538A">
            <w:pPr>
              <w:jc w:val="center"/>
            </w:pPr>
            <w:r>
              <w:t>0,00%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844D0" w14:textId="340FF6BF" w:rsidR="004D5357" w:rsidRPr="000D681D" w:rsidRDefault="003339CE" w:rsidP="0047538A">
            <w:pPr>
              <w:jc w:val="center"/>
            </w:pPr>
            <w:r>
              <w:t>5.500,00</w:t>
            </w:r>
          </w:p>
        </w:tc>
      </w:tr>
    </w:tbl>
    <w:p w14:paraId="0D190C09" w14:textId="77777777" w:rsidR="00B3344F" w:rsidRDefault="00B3344F" w:rsidP="009A0384">
      <w:pPr>
        <w:pStyle w:val="Standard"/>
        <w:spacing w:line="360" w:lineRule="auto"/>
        <w:jc w:val="both"/>
        <w:rPr>
          <w:b/>
        </w:rPr>
      </w:pPr>
    </w:p>
    <w:p w14:paraId="48451EDA" w14:textId="2B39102E" w:rsidR="00725F1B" w:rsidRPr="00E2671E" w:rsidRDefault="00725F1B" w:rsidP="00D27095">
      <w:pPr>
        <w:pStyle w:val="Standard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RASHODI I IZDACI</w:t>
      </w:r>
    </w:p>
    <w:p w14:paraId="6C3D04BC" w14:textId="1825EF83" w:rsidR="00583EEA" w:rsidRDefault="00583EEA" w:rsidP="00D27095">
      <w:pPr>
        <w:pStyle w:val="Standard"/>
        <w:spacing w:line="360" w:lineRule="auto"/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88"/>
        <w:gridCol w:w="1547"/>
        <w:gridCol w:w="1571"/>
        <w:gridCol w:w="1405"/>
        <w:gridCol w:w="1421"/>
      </w:tblGrid>
      <w:tr w:rsidR="00583EEA" w14:paraId="7FF4F09F" w14:textId="77777777" w:rsidTr="000E1612">
        <w:trPr>
          <w:trHeight w:val="1027"/>
        </w:trPr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2223A" w14:textId="77777777" w:rsidR="00583EEA" w:rsidRPr="00583EEA" w:rsidRDefault="00583EEA" w:rsidP="00D27095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BROJ KONTA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54BC0" w14:textId="77777777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VRSTA RASHODA / IZDATAKA</w:t>
            </w:r>
          </w:p>
          <w:p w14:paraId="6227F31C" w14:textId="77777777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65915" w14:textId="77777777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PLANIRANO</w:t>
            </w:r>
          </w:p>
          <w:p w14:paraId="55B44149" w14:textId="3DD2D866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202</w:t>
            </w:r>
            <w:r w:rsidR="00F30226">
              <w:rPr>
                <w:sz w:val="22"/>
                <w:szCs w:val="22"/>
              </w:rPr>
              <w:t>4</w:t>
            </w:r>
            <w:r w:rsidRPr="00583EEA">
              <w:rPr>
                <w:sz w:val="22"/>
                <w:szCs w:val="22"/>
              </w:rPr>
              <w:t>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9725F" w14:textId="77777777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59315" w14:textId="77777777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86E1C" w14:textId="5CC4A010" w:rsidR="00583EEA" w:rsidRPr="00583EEA" w:rsidRDefault="0045092F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="00583EEA" w:rsidRPr="00583EEA">
              <w:rPr>
                <w:sz w:val="22"/>
                <w:szCs w:val="22"/>
              </w:rPr>
              <w:t>REBALANS</w:t>
            </w:r>
          </w:p>
          <w:p w14:paraId="10B50E14" w14:textId="62DEF75A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202</w:t>
            </w:r>
            <w:r w:rsidR="00F30226">
              <w:rPr>
                <w:sz w:val="22"/>
                <w:szCs w:val="22"/>
              </w:rPr>
              <w:t>4</w:t>
            </w:r>
            <w:r w:rsidRPr="00583EEA">
              <w:rPr>
                <w:sz w:val="22"/>
                <w:szCs w:val="22"/>
              </w:rPr>
              <w:t>.GODINA</w:t>
            </w:r>
          </w:p>
          <w:p w14:paraId="0CE9C9F2" w14:textId="77777777" w:rsidR="00583EEA" w:rsidRPr="00583EEA" w:rsidRDefault="00583EEA" w:rsidP="0045092F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458D6" w:rsidRPr="005D4100" w14:paraId="09D29C25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A90AA" w14:textId="5C0B523F" w:rsidR="009458D6" w:rsidRPr="005D4100" w:rsidRDefault="009458D6" w:rsidP="009458D6">
            <w:pPr>
              <w:pStyle w:val="Standard"/>
              <w:spacing w:line="360" w:lineRule="auto"/>
              <w:jc w:val="both"/>
            </w:pPr>
            <w:r w:rsidRPr="006202A7">
              <w:t>3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CB99F" w14:textId="110105DB" w:rsidR="009458D6" w:rsidRPr="005D4100" w:rsidRDefault="009458D6" w:rsidP="009458D6">
            <w:pPr>
              <w:pStyle w:val="Standard"/>
              <w:spacing w:line="360" w:lineRule="auto"/>
            </w:pPr>
            <w:r w:rsidRPr="006202A7">
              <w:t>Rashodi poslovanja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A103B" w14:textId="13013B5D" w:rsidR="009458D6" w:rsidRPr="00A21123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234.000,00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D90DB" w14:textId="4592B6F0" w:rsidR="009458D6" w:rsidRPr="00A21123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37.800,00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B1134" w14:textId="74B7F8B6" w:rsidR="009458D6" w:rsidRPr="00A21123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16.2%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FC417" w14:textId="7CB6E110" w:rsidR="009458D6" w:rsidRPr="00A21123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2</w:t>
            </w:r>
            <w:r w:rsidR="00D344F3">
              <w:t>7</w:t>
            </w:r>
            <w:r w:rsidRPr="006202A7">
              <w:t>1.800,00</w:t>
            </w:r>
          </w:p>
        </w:tc>
      </w:tr>
      <w:tr w:rsidR="009458D6" w:rsidRPr="005D4100" w14:paraId="23DCC291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CFF98" w14:textId="511FA3F4" w:rsidR="009458D6" w:rsidRPr="00D658CF" w:rsidRDefault="009458D6" w:rsidP="009458D6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6202A7">
              <w:t>31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66759" w14:textId="7A676F96" w:rsidR="009458D6" w:rsidRPr="00D658CF" w:rsidRDefault="009458D6" w:rsidP="009458D6">
            <w:pPr>
              <w:pStyle w:val="Standard"/>
              <w:spacing w:line="360" w:lineRule="auto"/>
              <w:rPr>
                <w:b/>
                <w:bCs/>
              </w:rPr>
            </w:pPr>
            <w:r w:rsidRPr="006202A7">
              <w:t>Rashodi za zaposlene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7A85C" w14:textId="05164E6B" w:rsidR="009458D6" w:rsidRPr="00D658CF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161.600,00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2A1E5" w14:textId="5E1ECDF0" w:rsidR="009458D6" w:rsidRPr="00D658CF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33.000,00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AB2E" w14:textId="5271738A" w:rsidR="009458D6" w:rsidRPr="00D658CF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20.4%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8C725" w14:textId="3D0AD99C" w:rsidR="009458D6" w:rsidRPr="00D658CF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194.600,00</w:t>
            </w:r>
          </w:p>
        </w:tc>
      </w:tr>
      <w:tr w:rsidR="009458D6" w:rsidRPr="005D4100" w14:paraId="4120B733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A5D90" w14:textId="2C883E51" w:rsidR="009458D6" w:rsidRPr="000A363C" w:rsidRDefault="009458D6" w:rsidP="009458D6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6202A7">
              <w:t>32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42BFD" w14:textId="77499B71" w:rsidR="009458D6" w:rsidRPr="000A363C" w:rsidRDefault="009458D6" w:rsidP="009458D6">
            <w:pPr>
              <w:pStyle w:val="Standard"/>
              <w:spacing w:line="360" w:lineRule="auto"/>
              <w:rPr>
                <w:b/>
                <w:bCs/>
              </w:rPr>
            </w:pPr>
            <w:r w:rsidRPr="006202A7">
              <w:t>Materijalni rashodi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8581D" w14:textId="09FAFFB1" w:rsidR="009458D6" w:rsidRPr="000A363C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71.800,00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903CA" w14:textId="2F6F38E4" w:rsidR="009458D6" w:rsidRPr="000A363C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4.800,00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31925" w14:textId="150E455F" w:rsidR="009458D6" w:rsidRPr="000A363C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6.7%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8AC90" w14:textId="7ECBC4E4" w:rsidR="009458D6" w:rsidRPr="000A363C" w:rsidRDefault="009458D6" w:rsidP="009458D6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202A7">
              <w:t>76.600,00</w:t>
            </w:r>
          </w:p>
        </w:tc>
      </w:tr>
      <w:tr w:rsidR="009458D6" w:rsidRPr="005D4100" w14:paraId="5F4EC73E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BCA01" w14:textId="33AB5A05" w:rsidR="009458D6" w:rsidRDefault="009458D6" w:rsidP="009458D6">
            <w:pPr>
              <w:pStyle w:val="Standard"/>
              <w:spacing w:line="360" w:lineRule="auto"/>
              <w:jc w:val="both"/>
            </w:pPr>
            <w:r w:rsidRPr="006202A7">
              <w:t>34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14AE7" w14:textId="297843DB" w:rsidR="009458D6" w:rsidRDefault="009458D6" w:rsidP="009458D6">
            <w:pPr>
              <w:pStyle w:val="Standard"/>
              <w:spacing w:line="360" w:lineRule="auto"/>
            </w:pPr>
            <w:r w:rsidRPr="006202A7">
              <w:t>Financijski rashodi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33EC8" w14:textId="050AFC43" w:rsidR="009458D6" w:rsidRDefault="00873B8D" w:rsidP="009458D6">
            <w:pPr>
              <w:pStyle w:val="Standard"/>
              <w:spacing w:line="360" w:lineRule="auto"/>
            </w:pPr>
            <w:r>
              <w:t xml:space="preserve">         </w:t>
            </w:r>
            <w:r w:rsidR="009458D6" w:rsidRPr="006202A7">
              <w:t>600,00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C67B4" w14:textId="16FF4624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3578E" w14:textId="5E1BF5DF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0.0%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2C365" w14:textId="2CA36576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600,00</w:t>
            </w:r>
          </w:p>
        </w:tc>
      </w:tr>
      <w:tr w:rsidR="009458D6" w:rsidRPr="005D4100" w14:paraId="08F8EDE0" w14:textId="77777777" w:rsidTr="001352D9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254DB" w14:textId="065625EA" w:rsidR="009458D6" w:rsidRPr="005D4100" w:rsidRDefault="009458D6" w:rsidP="009458D6">
            <w:pPr>
              <w:pStyle w:val="Standard"/>
              <w:spacing w:line="360" w:lineRule="auto"/>
              <w:jc w:val="both"/>
            </w:pPr>
            <w:r w:rsidRPr="006202A7">
              <w:t>4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E163A" w14:textId="3DFC04F2" w:rsidR="009458D6" w:rsidRPr="005D4100" w:rsidRDefault="009458D6" w:rsidP="009458D6">
            <w:pPr>
              <w:pStyle w:val="Standard"/>
              <w:spacing w:line="360" w:lineRule="auto"/>
            </w:pPr>
            <w:r w:rsidRPr="006202A7">
              <w:t>Rashodi za nabavu nefinancijske imovine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7592E" w14:textId="7DA95932" w:rsidR="009458D6" w:rsidRPr="005D4100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10.000,00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516B3" w14:textId="105A7806" w:rsidR="009458D6" w:rsidRPr="005D4100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49477" w14:textId="1F5295D9" w:rsidR="009458D6" w:rsidRPr="005D4100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0.0%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5EFE" w14:textId="707C4604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10.000,00</w:t>
            </w:r>
          </w:p>
        </w:tc>
      </w:tr>
      <w:tr w:rsidR="009458D6" w:rsidRPr="005D4100" w14:paraId="488EC7ED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EA094" w14:textId="3F1EC901" w:rsidR="009458D6" w:rsidRPr="005D4100" w:rsidRDefault="009458D6" w:rsidP="009458D6">
            <w:pPr>
              <w:pStyle w:val="Standard"/>
              <w:spacing w:line="360" w:lineRule="auto"/>
              <w:jc w:val="both"/>
            </w:pPr>
            <w:r w:rsidRPr="006202A7">
              <w:t>42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33D0A" w14:textId="1AA3ECFE" w:rsidR="009458D6" w:rsidRPr="005D4100" w:rsidRDefault="009458D6" w:rsidP="009458D6">
            <w:pPr>
              <w:pStyle w:val="Standard"/>
              <w:spacing w:line="360" w:lineRule="auto"/>
            </w:pPr>
            <w:r w:rsidRPr="006202A7">
              <w:t>Rashodi za nabavu proizvedene dugotrajne imovine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951FF" w14:textId="0A03D459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5.000,00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B614F" w14:textId="2D2373E2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0BF1E" w14:textId="5024825B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0.0%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0D8EC" w14:textId="439AA78B" w:rsidR="009458D6" w:rsidRDefault="009458D6" w:rsidP="009458D6">
            <w:pPr>
              <w:pStyle w:val="Standard"/>
              <w:spacing w:line="360" w:lineRule="auto"/>
              <w:jc w:val="center"/>
            </w:pPr>
            <w:r w:rsidRPr="006202A7">
              <w:t>5.000,00</w:t>
            </w:r>
          </w:p>
        </w:tc>
      </w:tr>
      <w:tr w:rsidR="009458D6" w:rsidRPr="00530030" w14:paraId="1AC2BCE9" w14:textId="77777777" w:rsidTr="00CE615F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0EC58" w14:textId="4EFC3FC5" w:rsidR="009458D6" w:rsidRPr="00530030" w:rsidRDefault="009458D6" w:rsidP="009458D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202A7">
              <w:t>45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7EA98" w14:textId="03FD3804" w:rsidR="009458D6" w:rsidRPr="00530030" w:rsidRDefault="009458D6" w:rsidP="009458D6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6202A7">
              <w:t>Rashodi za dodatna ulaganja na nefinancijskoj imovini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FC860" w14:textId="454DA66F" w:rsidR="009458D6" w:rsidRPr="00530030" w:rsidRDefault="009458D6" w:rsidP="009458D6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6202A7">
              <w:t>5.000,00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6C7CA" w14:textId="6C51E374" w:rsidR="009458D6" w:rsidRPr="00530030" w:rsidRDefault="009458D6" w:rsidP="009458D6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6202A7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B8412" w14:textId="541F0779" w:rsidR="009458D6" w:rsidRPr="00530030" w:rsidRDefault="009458D6" w:rsidP="009458D6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6202A7">
              <w:t>0.0%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691C2" w14:textId="3D69A3F2" w:rsidR="009458D6" w:rsidRPr="00530030" w:rsidRDefault="009458D6" w:rsidP="009458D6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6202A7">
              <w:t>5.000,00</w:t>
            </w:r>
          </w:p>
        </w:tc>
      </w:tr>
    </w:tbl>
    <w:p w14:paraId="424C6A81" w14:textId="64C903F5" w:rsidR="002D6808" w:rsidRDefault="002D6808" w:rsidP="00D658CF">
      <w:pPr>
        <w:pStyle w:val="Standard"/>
        <w:spacing w:line="360" w:lineRule="auto"/>
        <w:jc w:val="both"/>
      </w:pPr>
    </w:p>
    <w:p w14:paraId="33B5D06E" w14:textId="61D541D3" w:rsidR="00080BE8" w:rsidRDefault="00D658CF" w:rsidP="00B967AD">
      <w:pPr>
        <w:pStyle w:val="Standard"/>
        <w:spacing w:line="360" w:lineRule="auto"/>
        <w:ind w:firstLine="360"/>
        <w:jc w:val="both"/>
      </w:pPr>
      <w:r>
        <w:t xml:space="preserve">Povećan je iznos za </w:t>
      </w:r>
      <w:r w:rsidR="00F614FF">
        <w:t xml:space="preserve">Rashode za zaposlene za </w:t>
      </w:r>
      <w:r w:rsidR="00A11375">
        <w:t>33.000,00</w:t>
      </w:r>
      <w:r w:rsidR="00F614FF">
        <w:t xml:space="preserve"> eura</w:t>
      </w:r>
      <w:r w:rsidR="006A5CD2">
        <w:t xml:space="preserve"> zbog</w:t>
      </w:r>
      <w:r w:rsidR="00F614FF">
        <w:t xml:space="preserve"> </w:t>
      </w:r>
      <w:r w:rsidR="00A11375">
        <w:t xml:space="preserve">povećanja koeficijenata zaposlenika Dječjeg vrtića Vojnić, a sukladno </w:t>
      </w:r>
      <w:r w:rsidR="00800BC5">
        <w:t>odredbama Kolektivnog ugovora</w:t>
      </w:r>
      <w:r w:rsidR="006A5CD2">
        <w:t xml:space="preserve"> za zaposlene u Dječjem vrtiću Vojnić</w:t>
      </w:r>
      <w:r w:rsidR="00820BBA">
        <w:t xml:space="preserve">. </w:t>
      </w:r>
      <w:r w:rsidR="008A2F54">
        <w:t>Materijalni rasho</w:t>
      </w:r>
      <w:r w:rsidR="00133AB7">
        <w:t>di su također povećani, i to za</w:t>
      </w:r>
      <w:r w:rsidR="008A2F54">
        <w:t xml:space="preserve"> 4.800,00 eura, odnosno za 6,7%. </w:t>
      </w:r>
      <w:r w:rsidR="00243A3F">
        <w:t xml:space="preserve">Povećanje navedene stavke odnosi se na </w:t>
      </w:r>
      <w:r w:rsidR="002E223E">
        <w:t xml:space="preserve">nabavu literature za predškolski program, nabavu namirnica za obroke osigurane u Vrtiću, izlete djece i ostalo. </w:t>
      </w:r>
      <w:r w:rsidR="0080596C">
        <w:t xml:space="preserve">Financijski rashodi </w:t>
      </w:r>
      <w:r w:rsidR="00E12845">
        <w:t>se</w:t>
      </w:r>
      <w:r w:rsidR="00212C9B">
        <w:t xml:space="preserve"> u ovim izmjenama i dopunama Financijskog plana </w:t>
      </w:r>
      <w:r w:rsidR="00E12845">
        <w:t xml:space="preserve"> nisu </w:t>
      </w:r>
      <w:r w:rsidR="00212C9B">
        <w:t>mijenjali.</w:t>
      </w:r>
    </w:p>
    <w:p w14:paraId="1E759072" w14:textId="3A118BD0" w:rsidR="005A61AA" w:rsidRDefault="00080BE8" w:rsidP="00B967AD">
      <w:pPr>
        <w:pStyle w:val="Standard"/>
        <w:spacing w:line="360" w:lineRule="auto"/>
        <w:ind w:firstLine="360"/>
        <w:jc w:val="both"/>
      </w:pPr>
      <w:r>
        <w:t>Rashodi za nabavu nefinancijske imovine, rashodi za nabavu proizvedene dugotrajne imovine</w:t>
      </w:r>
      <w:r w:rsidR="0020000B">
        <w:t xml:space="preserve"> te u</w:t>
      </w:r>
      <w:r w:rsidR="00244F73">
        <w:t xml:space="preserve">kupni rashodi za dodatna ulaganja na nefinancijskoj imovini </w:t>
      </w:r>
      <w:r w:rsidR="0020000B">
        <w:t>ostali su isti</w:t>
      </w:r>
      <w:r w:rsidR="008A2F54">
        <w:t>, što znači da ukupni rashodi poslovanja sada iznose 271.800,00 eura</w:t>
      </w:r>
      <w:r w:rsidR="00446EC9">
        <w:t>, što odgovara povećanju od 16,2% naspram prvotno planiranih rashoda poslovanja za 2024. godinu.</w:t>
      </w:r>
    </w:p>
    <w:p w14:paraId="69B66DC2" w14:textId="77777777" w:rsidR="00A23F0F" w:rsidRDefault="00A23F0F" w:rsidP="00D27095">
      <w:pPr>
        <w:pStyle w:val="Standard"/>
        <w:spacing w:line="360" w:lineRule="auto"/>
        <w:rPr>
          <w:b/>
          <w:bCs/>
          <w:u w:val="single"/>
        </w:rPr>
      </w:pPr>
    </w:p>
    <w:p w14:paraId="7FE6F457" w14:textId="77777777" w:rsidR="002D6808" w:rsidRDefault="002D6808" w:rsidP="00D27095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OBRAZLOŽENJE POSEBNOG DIJELA</w:t>
      </w:r>
    </w:p>
    <w:p w14:paraId="5A38AD35" w14:textId="77777777" w:rsidR="002D6808" w:rsidRDefault="002D6808" w:rsidP="00D27095">
      <w:pPr>
        <w:pStyle w:val="Standard"/>
        <w:spacing w:line="360" w:lineRule="auto"/>
      </w:pPr>
    </w:p>
    <w:p w14:paraId="6E2E12F1" w14:textId="77777777" w:rsidR="002D6808" w:rsidRDefault="002D6808" w:rsidP="00D27095">
      <w:pPr>
        <w:pStyle w:val="Standard"/>
        <w:spacing w:line="360" w:lineRule="auto"/>
        <w:rPr>
          <w:b/>
          <w:bCs/>
        </w:rPr>
      </w:pPr>
      <w:r w:rsidRPr="002D27D5">
        <w:rPr>
          <w:b/>
          <w:bCs/>
        </w:rPr>
        <w:t>Aktivnost A1000001 Redovna djelatnost</w:t>
      </w:r>
    </w:p>
    <w:p w14:paraId="7899A1C1" w14:textId="77777777" w:rsidR="002D6808" w:rsidRDefault="002D6808" w:rsidP="00D27095">
      <w:pPr>
        <w:pStyle w:val="Standard"/>
        <w:spacing w:line="360" w:lineRule="auto"/>
        <w:rPr>
          <w:b/>
          <w:bCs/>
        </w:rPr>
      </w:pPr>
    </w:p>
    <w:p w14:paraId="1129F6ED" w14:textId="5467B1CC" w:rsidR="005058E4" w:rsidRDefault="00154399" w:rsidP="00154399">
      <w:pPr>
        <w:pStyle w:val="Standard"/>
        <w:spacing w:line="360" w:lineRule="auto"/>
        <w:ind w:firstLine="567"/>
        <w:jc w:val="both"/>
        <w:rPr>
          <w:bCs/>
        </w:rPr>
      </w:pPr>
      <w:r>
        <w:rPr>
          <w:bCs/>
        </w:rPr>
        <w:t>Stavka r</w:t>
      </w:r>
      <w:r w:rsidR="002D6808" w:rsidRPr="001246FD">
        <w:rPr>
          <w:bCs/>
        </w:rPr>
        <w:t xml:space="preserve">edovna djelatnost – Dječji vrtić Vojnić  </w:t>
      </w:r>
      <w:r w:rsidR="00B02A72">
        <w:rPr>
          <w:bCs/>
        </w:rPr>
        <w:t>povećana</w:t>
      </w:r>
      <w:r w:rsidR="002D6808">
        <w:rPr>
          <w:bCs/>
        </w:rPr>
        <w:t xml:space="preserve"> je za </w:t>
      </w:r>
      <w:r w:rsidR="005749AA">
        <w:rPr>
          <w:bCs/>
        </w:rPr>
        <w:t>ukupno 37.800,00</w:t>
      </w:r>
      <w:r w:rsidR="00DE06B8">
        <w:rPr>
          <w:bCs/>
        </w:rPr>
        <w:t xml:space="preserve"> </w:t>
      </w:r>
      <w:r w:rsidR="00C94130">
        <w:t>eur</w:t>
      </w:r>
      <w:r w:rsidR="000A47A6">
        <w:t>a</w:t>
      </w:r>
      <w:r w:rsidR="002D6808">
        <w:rPr>
          <w:bCs/>
        </w:rPr>
        <w:t xml:space="preserve"> i sada iznosi </w:t>
      </w:r>
      <w:r w:rsidR="005749AA">
        <w:rPr>
          <w:bCs/>
        </w:rPr>
        <w:t>271.800,00</w:t>
      </w:r>
      <w:r w:rsidR="002D6808">
        <w:rPr>
          <w:bCs/>
        </w:rPr>
        <w:t xml:space="preserve"> </w:t>
      </w:r>
      <w:r w:rsidR="00C94130">
        <w:t>eur</w:t>
      </w:r>
      <w:r w:rsidR="00561B9B">
        <w:t>a</w:t>
      </w:r>
      <w:r w:rsidR="00D84AA3">
        <w:rPr>
          <w:bCs/>
        </w:rPr>
        <w:t xml:space="preserve">, što odgovara povećanju od </w:t>
      </w:r>
      <w:r w:rsidR="00F968A3">
        <w:rPr>
          <w:bCs/>
        </w:rPr>
        <w:t xml:space="preserve">16,5%. Glavni razlog povećanja je, kao što je navedeno  u prethodnom obrazloženju, povećanje koeficijenata plaća zaposlenih u Dječjem vrtiću </w:t>
      </w:r>
      <w:r>
        <w:rPr>
          <w:bCs/>
        </w:rPr>
        <w:t>V</w:t>
      </w:r>
      <w:r w:rsidR="00F968A3">
        <w:rPr>
          <w:bCs/>
        </w:rPr>
        <w:t>ojnić</w:t>
      </w:r>
      <w:r w:rsidR="0059206E">
        <w:rPr>
          <w:bCs/>
        </w:rPr>
        <w:t xml:space="preserve"> i materijalnih rashoda.</w:t>
      </w:r>
    </w:p>
    <w:p w14:paraId="6F538919" w14:textId="77777777" w:rsidR="002D6808" w:rsidRDefault="002D6808" w:rsidP="002D6808">
      <w:pPr>
        <w:pStyle w:val="Standard"/>
        <w:rPr>
          <w:bCs/>
        </w:rPr>
      </w:pPr>
    </w:p>
    <w:p w14:paraId="46ED179D" w14:textId="282813DB" w:rsidR="009F4345" w:rsidRDefault="002D6808" w:rsidP="002D6808">
      <w:pPr>
        <w:pStyle w:val="Standard"/>
        <w:rPr>
          <w:b/>
          <w:bCs/>
        </w:rPr>
      </w:pPr>
      <w:r>
        <w:rPr>
          <w:b/>
          <w:bCs/>
        </w:rPr>
        <w:t>Kapitalni projekt K100001  Opremanje dječjeg vrtić</w:t>
      </w:r>
      <w:r w:rsidR="004506D8">
        <w:rPr>
          <w:b/>
          <w:bCs/>
        </w:rPr>
        <w:t xml:space="preserve"> Vojnić</w:t>
      </w:r>
      <w:r w:rsidR="006E0B11">
        <w:rPr>
          <w:b/>
          <w:bCs/>
        </w:rPr>
        <w:t xml:space="preserve"> </w:t>
      </w:r>
    </w:p>
    <w:p w14:paraId="248E7CD2" w14:textId="77777777" w:rsidR="009F4345" w:rsidRDefault="009F4345" w:rsidP="002D6808">
      <w:pPr>
        <w:pStyle w:val="Standard"/>
        <w:rPr>
          <w:b/>
          <w:bCs/>
        </w:rPr>
      </w:pPr>
    </w:p>
    <w:p w14:paraId="5E00922D" w14:textId="419025D2" w:rsidR="00113B4F" w:rsidRDefault="009337FB" w:rsidP="003E1F18">
      <w:pPr>
        <w:pStyle w:val="Standard"/>
        <w:jc w:val="both"/>
      </w:pPr>
      <w:r>
        <w:t>Planiran</w:t>
      </w:r>
      <w:r w:rsidR="006E0B11" w:rsidRPr="009F4345">
        <w:t xml:space="preserve"> je</w:t>
      </w:r>
      <w:r>
        <w:t xml:space="preserve"> u</w:t>
      </w:r>
      <w:r w:rsidR="006E0B11" w:rsidRPr="009F4345">
        <w:t xml:space="preserve"> iznos</w:t>
      </w:r>
      <w:r>
        <w:t>u</w:t>
      </w:r>
      <w:r w:rsidR="006E0B11" w:rsidRPr="009F4345">
        <w:t xml:space="preserve"> </w:t>
      </w:r>
      <w:r>
        <w:t>od</w:t>
      </w:r>
      <w:r w:rsidR="006E0B11" w:rsidRPr="009F4345">
        <w:t xml:space="preserve"> </w:t>
      </w:r>
      <w:r w:rsidR="00304BA3">
        <w:t>10.000,00</w:t>
      </w:r>
      <w:r w:rsidR="00092B83" w:rsidRPr="009F4345">
        <w:t xml:space="preserve"> </w:t>
      </w:r>
      <w:r w:rsidR="00C94130">
        <w:t>eur</w:t>
      </w:r>
      <w:r>
        <w:t>a</w:t>
      </w:r>
      <w:r w:rsidR="00304BA3">
        <w:t>, a u ovim izmjenama i dopunama Financijskog plana ostaje nepromijenjen</w:t>
      </w:r>
      <w:r w:rsidR="0059206E">
        <w:t>.</w:t>
      </w:r>
    </w:p>
    <w:p w14:paraId="4E12BAFD" w14:textId="77777777" w:rsidR="00AE059A" w:rsidRPr="00113B4F" w:rsidRDefault="00AE059A" w:rsidP="003E1F18">
      <w:pPr>
        <w:pStyle w:val="Standard"/>
        <w:jc w:val="both"/>
      </w:pPr>
    </w:p>
    <w:p w14:paraId="56FBB912" w14:textId="23F66218" w:rsidR="002D6808" w:rsidRDefault="002D6808" w:rsidP="002D6808">
      <w:pPr>
        <w:pStyle w:val="Standard"/>
      </w:pPr>
      <w:r>
        <w:t xml:space="preserve">                                      </w:t>
      </w:r>
    </w:p>
    <w:p w14:paraId="7598DD0B" w14:textId="77777777" w:rsidR="00725F1B" w:rsidRDefault="00725F1B" w:rsidP="00725F1B">
      <w:pPr>
        <w:pStyle w:val="Standard"/>
      </w:pPr>
    </w:p>
    <w:p w14:paraId="0464F2F3" w14:textId="17C12244" w:rsidR="00725F1B" w:rsidRDefault="00725F1B" w:rsidP="00AE059A">
      <w:pPr>
        <w:pStyle w:val="Standard"/>
        <w:spacing w:line="480" w:lineRule="auto"/>
        <w:jc w:val="right"/>
      </w:pPr>
      <w:r>
        <w:t>Ravnateljica Dječjeg vrtića Vojnić</w:t>
      </w:r>
    </w:p>
    <w:p w14:paraId="779FA8FD" w14:textId="0B1F0FCE" w:rsidR="00725F1B" w:rsidRDefault="001324EC" w:rsidP="00AE059A">
      <w:pPr>
        <w:pStyle w:val="Standard"/>
        <w:spacing w:line="480" w:lineRule="auto"/>
        <w:ind w:left="5664" w:firstLine="708"/>
        <w:jc w:val="center"/>
      </w:pPr>
      <w:r>
        <w:t xml:space="preserve">Viktorija </w:t>
      </w:r>
      <w:proofErr w:type="spellStart"/>
      <w:r w:rsidR="00EC5187">
        <w:t>Bižić</w:t>
      </w:r>
      <w:proofErr w:type="spellEnd"/>
    </w:p>
    <w:sectPr w:rsidR="00725F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8651">
    <w:abstractNumId w:val="0"/>
  </w:num>
  <w:num w:numId="2" w16cid:durableId="201477642">
    <w:abstractNumId w:val="1"/>
  </w:num>
  <w:num w:numId="3" w16cid:durableId="1025398210">
    <w:abstractNumId w:val="0"/>
    <w:lvlOverride w:ilvl="0">
      <w:startOverride w:val="1"/>
    </w:lvlOverride>
  </w:num>
  <w:num w:numId="4" w16cid:durableId="3212756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1B"/>
    <w:rsid w:val="00027676"/>
    <w:rsid w:val="00043927"/>
    <w:rsid w:val="00066546"/>
    <w:rsid w:val="00080BE8"/>
    <w:rsid w:val="0008421D"/>
    <w:rsid w:val="000843AC"/>
    <w:rsid w:val="00092B83"/>
    <w:rsid w:val="0009361B"/>
    <w:rsid w:val="00096748"/>
    <w:rsid w:val="000A363C"/>
    <w:rsid w:val="000A47A6"/>
    <w:rsid w:val="000B0027"/>
    <w:rsid w:val="000D2EF8"/>
    <w:rsid w:val="000E1612"/>
    <w:rsid w:val="00113B4F"/>
    <w:rsid w:val="001208B3"/>
    <w:rsid w:val="00124E0D"/>
    <w:rsid w:val="00130C97"/>
    <w:rsid w:val="001324EC"/>
    <w:rsid w:val="00133AB7"/>
    <w:rsid w:val="001352D9"/>
    <w:rsid w:val="00141471"/>
    <w:rsid w:val="00154399"/>
    <w:rsid w:val="00170A43"/>
    <w:rsid w:val="0019088E"/>
    <w:rsid w:val="001B13DA"/>
    <w:rsid w:val="001B50A9"/>
    <w:rsid w:val="001D545D"/>
    <w:rsid w:val="0020000B"/>
    <w:rsid w:val="00201413"/>
    <w:rsid w:val="00212C9B"/>
    <w:rsid w:val="00243A3F"/>
    <w:rsid w:val="00244F73"/>
    <w:rsid w:val="00250978"/>
    <w:rsid w:val="00261043"/>
    <w:rsid w:val="002679CB"/>
    <w:rsid w:val="00283146"/>
    <w:rsid w:val="00294A5C"/>
    <w:rsid w:val="002953B2"/>
    <w:rsid w:val="002B5527"/>
    <w:rsid w:val="002C1920"/>
    <w:rsid w:val="002D6808"/>
    <w:rsid w:val="002E223E"/>
    <w:rsid w:val="00304BA3"/>
    <w:rsid w:val="0031431E"/>
    <w:rsid w:val="00316ABA"/>
    <w:rsid w:val="00325AF0"/>
    <w:rsid w:val="003339CE"/>
    <w:rsid w:val="00344048"/>
    <w:rsid w:val="00370F70"/>
    <w:rsid w:val="00372AE7"/>
    <w:rsid w:val="00376ADA"/>
    <w:rsid w:val="00385886"/>
    <w:rsid w:val="003A3BAE"/>
    <w:rsid w:val="003C4B4A"/>
    <w:rsid w:val="003C50F5"/>
    <w:rsid w:val="003E1F18"/>
    <w:rsid w:val="003E338E"/>
    <w:rsid w:val="003E5B8C"/>
    <w:rsid w:val="003E7824"/>
    <w:rsid w:val="003F7E3B"/>
    <w:rsid w:val="00417D3C"/>
    <w:rsid w:val="0042065E"/>
    <w:rsid w:val="00433928"/>
    <w:rsid w:val="00441852"/>
    <w:rsid w:val="00446C8D"/>
    <w:rsid w:val="00446EC9"/>
    <w:rsid w:val="004502A0"/>
    <w:rsid w:val="004506D8"/>
    <w:rsid w:val="0045092F"/>
    <w:rsid w:val="00454C99"/>
    <w:rsid w:val="00464028"/>
    <w:rsid w:val="0047538A"/>
    <w:rsid w:val="00487D25"/>
    <w:rsid w:val="0049347C"/>
    <w:rsid w:val="004A0636"/>
    <w:rsid w:val="004A1C52"/>
    <w:rsid w:val="004A55EF"/>
    <w:rsid w:val="004C1A01"/>
    <w:rsid w:val="004C7476"/>
    <w:rsid w:val="004D24F6"/>
    <w:rsid w:val="004D5357"/>
    <w:rsid w:val="004E05B9"/>
    <w:rsid w:val="004F0722"/>
    <w:rsid w:val="00503132"/>
    <w:rsid w:val="005058E4"/>
    <w:rsid w:val="005059E0"/>
    <w:rsid w:val="00524E8E"/>
    <w:rsid w:val="0054531C"/>
    <w:rsid w:val="00561B9B"/>
    <w:rsid w:val="005749AA"/>
    <w:rsid w:val="00583EEA"/>
    <w:rsid w:val="0059206E"/>
    <w:rsid w:val="005A3BCE"/>
    <w:rsid w:val="005A61AA"/>
    <w:rsid w:val="005D24DA"/>
    <w:rsid w:val="005E17DB"/>
    <w:rsid w:val="005E5AFD"/>
    <w:rsid w:val="005F7F7A"/>
    <w:rsid w:val="006221EB"/>
    <w:rsid w:val="006233C6"/>
    <w:rsid w:val="0062408D"/>
    <w:rsid w:val="00664268"/>
    <w:rsid w:val="00665A00"/>
    <w:rsid w:val="00683D70"/>
    <w:rsid w:val="00693BA4"/>
    <w:rsid w:val="006A5CD2"/>
    <w:rsid w:val="006C108F"/>
    <w:rsid w:val="006C1FBF"/>
    <w:rsid w:val="006C6B84"/>
    <w:rsid w:val="006D162A"/>
    <w:rsid w:val="006E0B11"/>
    <w:rsid w:val="00701576"/>
    <w:rsid w:val="0071759F"/>
    <w:rsid w:val="00725F1B"/>
    <w:rsid w:val="00746C07"/>
    <w:rsid w:val="00760BFF"/>
    <w:rsid w:val="007702A5"/>
    <w:rsid w:val="00772AEA"/>
    <w:rsid w:val="00775C48"/>
    <w:rsid w:val="00776759"/>
    <w:rsid w:val="0078051F"/>
    <w:rsid w:val="00794A66"/>
    <w:rsid w:val="007D3D88"/>
    <w:rsid w:val="007E4FC5"/>
    <w:rsid w:val="007E7C13"/>
    <w:rsid w:val="00800BC5"/>
    <w:rsid w:val="00803B6E"/>
    <w:rsid w:val="0080596C"/>
    <w:rsid w:val="00815F6E"/>
    <w:rsid w:val="00820BBA"/>
    <w:rsid w:val="008320D9"/>
    <w:rsid w:val="00833E92"/>
    <w:rsid w:val="00834D4F"/>
    <w:rsid w:val="00836BB8"/>
    <w:rsid w:val="00846129"/>
    <w:rsid w:val="00860B12"/>
    <w:rsid w:val="0086204A"/>
    <w:rsid w:val="0086782E"/>
    <w:rsid w:val="00873B8D"/>
    <w:rsid w:val="008A2F54"/>
    <w:rsid w:val="008A3D5B"/>
    <w:rsid w:val="008B0AE2"/>
    <w:rsid w:val="008B6C29"/>
    <w:rsid w:val="008C7277"/>
    <w:rsid w:val="0090420C"/>
    <w:rsid w:val="009225E1"/>
    <w:rsid w:val="00927892"/>
    <w:rsid w:val="009337FB"/>
    <w:rsid w:val="009378FF"/>
    <w:rsid w:val="0094169F"/>
    <w:rsid w:val="00942DF6"/>
    <w:rsid w:val="009458D6"/>
    <w:rsid w:val="00947467"/>
    <w:rsid w:val="00997514"/>
    <w:rsid w:val="009A0384"/>
    <w:rsid w:val="009A0B94"/>
    <w:rsid w:val="009B544C"/>
    <w:rsid w:val="009C4F7C"/>
    <w:rsid w:val="009D11D2"/>
    <w:rsid w:val="009D28CF"/>
    <w:rsid w:val="009D7773"/>
    <w:rsid w:val="009E32DA"/>
    <w:rsid w:val="009E4E85"/>
    <w:rsid w:val="009F1CDD"/>
    <w:rsid w:val="009F4345"/>
    <w:rsid w:val="00A11375"/>
    <w:rsid w:val="00A122A1"/>
    <w:rsid w:val="00A21123"/>
    <w:rsid w:val="00A21988"/>
    <w:rsid w:val="00A23F0F"/>
    <w:rsid w:val="00A32C9D"/>
    <w:rsid w:val="00A53DCA"/>
    <w:rsid w:val="00A579F8"/>
    <w:rsid w:val="00A74961"/>
    <w:rsid w:val="00A81C40"/>
    <w:rsid w:val="00A86567"/>
    <w:rsid w:val="00AA13C6"/>
    <w:rsid w:val="00AB20C7"/>
    <w:rsid w:val="00AC0785"/>
    <w:rsid w:val="00AE059A"/>
    <w:rsid w:val="00AE2447"/>
    <w:rsid w:val="00AE3980"/>
    <w:rsid w:val="00AF2AE8"/>
    <w:rsid w:val="00B02A72"/>
    <w:rsid w:val="00B1773D"/>
    <w:rsid w:val="00B3344F"/>
    <w:rsid w:val="00B6443C"/>
    <w:rsid w:val="00B967AD"/>
    <w:rsid w:val="00BB724B"/>
    <w:rsid w:val="00BC2CB3"/>
    <w:rsid w:val="00C14335"/>
    <w:rsid w:val="00C25185"/>
    <w:rsid w:val="00C266C2"/>
    <w:rsid w:val="00C302DC"/>
    <w:rsid w:val="00C4241A"/>
    <w:rsid w:val="00C44870"/>
    <w:rsid w:val="00C94130"/>
    <w:rsid w:val="00CA5A01"/>
    <w:rsid w:val="00CC0D0B"/>
    <w:rsid w:val="00CE615F"/>
    <w:rsid w:val="00D211FB"/>
    <w:rsid w:val="00D27095"/>
    <w:rsid w:val="00D344F3"/>
    <w:rsid w:val="00D429B0"/>
    <w:rsid w:val="00D466C4"/>
    <w:rsid w:val="00D46971"/>
    <w:rsid w:val="00D658CF"/>
    <w:rsid w:val="00D66D0B"/>
    <w:rsid w:val="00D84AA3"/>
    <w:rsid w:val="00DC7958"/>
    <w:rsid w:val="00DE06B8"/>
    <w:rsid w:val="00E12845"/>
    <w:rsid w:val="00E25517"/>
    <w:rsid w:val="00E2671E"/>
    <w:rsid w:val="00E3138D"/>
    <w:rsid w:val="00E90C09"/>
    <w:rsid w:val="00EA31F1"/>
    <w:rsid w:val="00EA382B"/>
    <w:rsid w:val="00EB1B51"/>
    <w:rsid w:val="00EC5187"/>
    <w:rsid w:val="00ED1ECA"/>
    <w:rsid w:val="00EF1780"/>
    <w:rsid w:val="00EF3D40"/>
    <w:rsid w:val="00F03AB8"/>
    <w:rsid w:val="00F06ACE"/>
    <w:rsid w:val="00F234FF"/>
    <w:rsid w:val="00F30226"/>
    <w:rsid w:val="00F3469F"/>
    <w:rsid w:val="00F523FC"/>
    <w:rsid w:val="00F54F32"/>
    <w:rsid w:val="00F553C4"/>
    <w:rsid w:val="00F5774F"/>
    <w:rsid w:val="00F614FF"/>
    <w:rsid w:val="00F86EF9"/>
    <w:rsid w:val="00F968A3"/>
    <w:rsid w:val="00FA0B17"/>
    <w:rsid w:val="00FA474C"/>
    <w:rsid w:val="00FA4A1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AB0"/>
  <w15:chartTrackingRefBased/>
  <w15:docId w15:val="{300C483A-85C0-4CDD-B41E-9EE9A0A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popisa"/>
    <w:rsid w:val="00725F1B"/>
    <w:pPr>
      <w:numPr>
        <w:numId w:val="1"/>
      </w:numPr>
    </w:pPr>
  </w:style>
  <w:style w:type="numbering" w:customStyle="1" w:styleId="WWNum5">
    <w:name w:val="WWNum5"/>
    <w:basedOn w:val="Bezpopisa"/>
    <w:rsid w:val="00725F1B"/>
    <w:pPr>
      <w:numPr>
        <w:numId w:val="2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61B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61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eetkatablice">
    <w:name w:val="Table Grid"/>
    <w:basedOn w:val="Obinatablica"/>
    <w:uiPriority w:val="39"/>
    <w:rsid w:val="0028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Christine Ramovš</cp:lastModifiedBy>
  <cp:revision>2</cp:revision>
  <cp:lastPrinted>2023-12-27T13:10:00Z</cp:lastPrinted>
  <dcterms:created xsi:type="dcterms:W3CDTF">2024-05-22T09:00:00Z</dcterms:created>
  <dcterms:modified xsi:type="dcterms:W3CDTF">2024-05-22T09:00:00Z</dcterms:modified>
</cp:coreProperties>
</file>